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ПОКРЫТИЯ ДОЩАТЫЕ, ИЗ ПАРКЕТНЫХ ДОСОК И ЩИТОВ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7.154. Для столбиков под лаги в полах, устраиваемых на грунте, следует применять обыкновенный глиняный кирпич марки 75 и выше и цементный раствор марки не ниже 25. Устройство столбиков из силикатного кирпича и других искусственных камней, понижающих прочность при увлажнении, не допускается.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Звукоизоляционные прокладки под лаги на междуэтажных перекрытиях должны удовлетворять требованиям п. 6.3 и 6.5 настоящих Рекомендаций.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7.155. На междуэтажных перекрытиях в качестве звукоизолирующей засыпки под лаги следует применять минеральные сыпучие материалы, удовлетворяющие требованиям п. 6.4 настоящих Рекомендаций.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Влажность материала засыпки при укладке покрытия не должна превышать 10%.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7.156.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лаг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должны применяться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нестроганные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доски (ГОСТ 2695-83*, ГОСТ 8486-86*) 2-го и 3-го сортов из здоровой древесины хвойных и мягких лиственных пород, за исключением липы и тополя. Доски могут иметь тупой обзол без коры. Толщина лаг, опирающихся всей нижней поверхностью на плиты перекрытия или звукоизоляционный слой, должна составлять 40 мм, ширина - 80-100 мм. Толщина лаг, укладываемых на отдельные опоры (столбики в полах на грунте, балки перекрытия и др.) должна быть 40-50 мм; ширина - 100-120 мм.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Ширина деревянных прокладок, укладываемых по столбикам под лаги в полах на грунте, должна быть 100-150 мм, длина - 0,2-0,25 м, толщина - не менее 25 мм.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Влажность лаг и прокладок не должна превышать 18%. Лаги и прокладки должны быть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антисептированы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7.157.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Расстояние между осями лаг и между осями балок перекрытия (при укладке покрытия непосредственно по балкам) должно составлять 0,4-0,5 м.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укладке лаг на отдельные опоры (столбики в полах на грунте, балки перекрытия и др.) расстояния между осями этих опор (пролет лаг) должны составлять: 0,8-0,9 м при толщине лаг 40 мм;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1-1,1 м при толщине лаг 50 мм.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больших эксплуатационных нагрузках на пол из досок (например, в спортивных залах, при распределенных нагрузках более 500 кг/м</w:t>
      </w:r>
      <w:proofErr w:type="gramStart"/>
      <w:r w:rsidRPr="00A118E3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сосредоточенных более 200 кг/м</w:t>
      </w:r>
      <w:r w:rsidRPr="00A118E3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др.) расстояния между опорами для лаг, между лагами и их толщину следует принимать по расчету.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7.158. Лаги следует укладывать поперек направления света из окон, а в помещениях с определенным направлением движения людей (например, в коридорах) - поперек прохода с тем, чтобы доски покрытия располагались вдоль этих направлений.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Между лагами и стенами следует оставлять зазор шириной 20-30 мм.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7.159. Укладка лаг на междуэтажных перекрытиях, выполненных из железобетонных плит, должна производиться по звукоизоляционным прокладкам или засыпке, а при соответствующем указании в проекте - непосредственно по несущим плитам перекрытия, монтажные углубления в плитах перекрытий и швы между этими плитами, а также между стенами и плитами должны быть заполнены раствором М150.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Звукоизоляционные прокладки следует укладывать полосами под лаги на всем их протяжении без разрывов.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Неровную поверхность плит перекрытия выравнивать следует подсыпкой песка слоем минимальной толщины. Звукоизоляционные засыпки следует укладывать по всей поверхности плит перекрытия слоем толщиной, установленной в проекте, но не менее 20 мм, и выравнивать рейкой.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7.160. В полах на перекрытиях лаги следует выравнивать слоем песка, подбивая его под звукоизоляционные прокладки или лаги по всей их ширине и длине. Лаги должны касаться звукоизоляционного слоя, плит перекрытия или песчаного выравнивающего слоя всей нижней поверхностью, без зазоров. Подбивка деревянных клиньев или подкладок под лаги для их выравнивания или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опирание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лаг на деревянные подкладки не допускается. Длина стыкуемых лаг должна быть не менее 2-х метров. Короткие лаги следует стыковать между собой вплотную торцами в любом месте помещения со смещением стыков в смежных лагах не менее чем на 0,5 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7.161. Под лаги, располагаемые на столбиках в полах на грунте, укладывать следует в один слой деревянные прокладки по двум слоям рубероида, края которого должны быть выпущены из-под прокладок на 30-40 мм и прикреплены к ним гвоздями. Для выравнивания лаг следует применять прокладки соответствующей толщины. Стыки лаг должны располагаться на столбиках.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7.162.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дверных проемах смежных помещений следует располагать уширенную лагу, выступающую за перегородку не менее чем на 50 мм с каждой стороны, чтобы покрытие пола в смежных помещениях опиралось на одну лагу.</w:t>
      </w:r>
      <w:proofErr w:type="gramEnd"/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7.163. Высота подпольного пространства полов на грунте (расстояние от основания или подстилающего слоя до досок покрытия) должна быть не более 250 мм, а полов на перекрытиях (расстояние от перекрытия или звукоизоляционного слоя до досок покрытия) - не менее 10 мм.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7.164. Поверхность всех лаг следует располагать водной плоскости. Ровность укладки лаг проверяется во всех направлениях двухметровой рейкой с уровнем; рейка должна касаться (без зазоров) всех лаг. Выверенные лаги временно расшивают досками.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Подпольное пространство перед укладкой досок покрытия должно быть очищено от стружек, щепы и мусора.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7.165. Для дощатых покрытий следует применять строганные доски ГОСТ 8242-88 «Детали деревянные фрезерованные для строительства».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7.166. Толщина досок, применяемых для дощатых покрытий в жилых и общественных зданиях, должна соответствовать проекту. Влажность досок при их укладке и сплачивании не должна превышать 12%.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7.167. Укладка досок дощатого покрытия должна производиться в один слой, непосредственно по лагам, перпендикулярно им. Доски покрытия следует соединять между собой боковыми кромками в шпунт и сплачивать. Уменьшение ширины покрытия при сплачивании должно быть не менее 0,5%. Зазоры между досками покрытия допускаются только в отдельных местах не более 1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7.168. Каждая доска дощатого покрытия должна быть прибита к каждой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лаге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гвоздями длиной, в 2-2,5 раза больше толщины покрытия. Гвозди следует забивать в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пласть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досок наклонно с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втапливанием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шляпок. Ряды гвоздей вдоль лаг должны быть прямолинейными.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7.169. Стыки торцов с боковыми кромками досок покрытия и стыки боковых кромок смежных досок без шпунтового соединения между ними (например, в дверных проемах) следует располагать на лагах и выполнять с тщательной подгонкой по прямой линии, не допуская образования щелей.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Каждую из смежных досок, опирающихся на общую лагу, следует прибивать к этой лаге.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Стыки торцов досок покрытия длиной не менее 2 м должны располагаться на общей для них лаге во всю ширину или длину помещения и перекрываться доской (фризом) шириной 50-60 мм, толщиной 15 мм, врезанной заподлицо с поверхностью покрытия. Фриз прибивают к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лаге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гвоздями в два ряда с шагом (вдоль лаги) 200-250 мм. Стыкование торцов без перекрытия фризом допускается только в двух-трех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пристенных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досках покрытия; стыки не должны находиться против дверных проемов и должны располагаться на одной лаге.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Провесы и неровности досок покрытия следует острогать после окончательного сплачивания и прибивки.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7.170. Отделку дощатого покрытия следует производить после окончания всех работ в помещении.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7.171. Паркетные доски и паркетные щиты должны удовлетворять требованиям ГОСТ 862.3-86. Допускается также применение паркетных щитов по ГОСТ 862.4-87.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Паркетные доски и паркетные щиты с планками из древесины сосны и лиственницы допускаются только в помещениях, при эксплуатации которых не будет интенсивного износа полов.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Влажность паркетных досок и паркетных щитов при укладке не должна превышать 10%.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7.172.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Укладку паркетных досок и паркетных щитов следует производить непосредственно по лагам, перпендикулярно им. Паркетные доски должны соединяться между собой в шпунт, а паркетные щиты - при помощи шпонок и сплачиваться длина стыкуемых торцами паркетных досок должна быть не менее 1,2 м. Зазоры между паркетными досками и между паркетными щитами допускаются только в отдельных местах шириной не более 0,5 мм.</w:t>
      </w:r>
      <w:proofErr w:type="gramEnd"/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7.173. Каждая паркетная доска и паркетный щит должен прибиваться к каждой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лаге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гвоздями длиной 50-60 мм.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Гвозди следует забивать наклонно в основание нижней щеки паза на кромках паркетных досок и паркетных щитов с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втапливанием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шляпок. Забивка гвоздей в лицевую поверхность паркетных досок и паркетных щитов не допускается.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7.174. Стыки торцов и боковых кромок с торцами смежных паркетных досок, а также стыки параллельных лагам кромок смежных паркетных щитов следует располагать на лагах.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сопряжении паркетных досок, а также паркетных щитов с опиленными кромками на одних из них должен быть выполнен паз, на других - гребень, соответствующие имеющимся на других кромках.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Одно из смежных паркетных досок и один из смежных паркетных щитов, опирающиеся на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общую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них лагу и имеющие на кромке паз, должны быть прибиты к этой лаге.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7.175. В процессе укладки покрытий на лагах, устраиваемых на перекрытиях, систематически следует проверять жесткость пола; обнаруженная зыбкость устраняется дополнительной подбивкой песка под звукоизоляционные прокладки или лаги.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местах, где покрытие свешивается за крайнюю лагу более чем на 100 мм, под его край следует подложить дополнительную лагу длиной не менее 600 мм, а покрытие прибить к ней.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7.176. Для проветривания подпольного пространства полов на грунте в помещениях, расположенных на 1 этаже зданий без технического подполья, у стен и перегородок должны быть уложены плинтусы, либо в покрытии или галтелях оставлены отверстия в двух противоположных углах помещения. Площадь отверстий должна быть 20-30 см. Отверстия следует перекрыть металлическими решетками, возвышающимися над полом на 7-10 мм.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покрытиях, уложенных по лагам на междуэтажных перекрытиях, устройство вентиляционных отверстии не требуется.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7.177. Отделку покрытий полов из паркетных досок и, щитов следует производить после окончания всех работ в помещении.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7.178. Зазоры между покрытиями из досок, паркетных досок и щитов и стенами следует перекрывать плинтусами или галтелями.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7.179. Влажность древесины плинтусов и галтелей в период установки должна быть не более 12%.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7.180. Плинтусы и галтели следует крепить гвоздями длиной 30-40 мм, диаметром 2,5 мм или шурупами длиной 25 мм, диаметром 3 мм, к стене (перегородке), либо только к полу. Плинтусы должны стыковаться под углом 45°.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7.181. Лакированные плинтусы (галтели) следует устанавливать после окончательной окраски или оклейки стен обоями.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7.182. При ровных и гладких стенах допускается установка поливинилхлоридных плинтусов с приклейкой их к стенам до оклейки обоями. Клей следует наносить на очищенную поверхность стены и тыльную сторону плинтусов.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ПОКРЫТИЯ ИЗ СВЕРХТВЕРДЫХ ДРЕВЕСНОВОЛОКНИСТЫХ ПЛИТ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7.183. Для покрытий следует применять плиты марки СТ-500 по ГОСТ 4598-86* толщиной 3,2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7.184. Применение для покрытий сверхтвердых древесноволокнистых плит сухого способа производства не допускается.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7.185. Для устройства основания под покрытие из сверхтвердых древесноволокнистых плит следует применять деловые отходы досок из древесины хвойных пород 2-го и 3-го сорта длиной 80-100 см, шириной до 120 мм, толщиной 22 или 25 мм; плиты ДСП толщиной 19 мм и легкий бетон.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7.186. Древесина для основания плит должна быть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антисептирована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7.187. Устройство основания под покрытие из сверхтвердых ДВП следует производить не ранее достижения материалом стяжки предела прочности при сжатии 5 МПа (50 кгс/см</w:t>
      </w:r>
      <w:proofErr w:type="gramStart"/>
      <w:r w:rsidRPr="00A118E3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и влажности не более 5%.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7.188. Влажность деловых отходов досок и древесностружечных плит, применяемых для устройства основания, не должна превышать 12%.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7.189. Для приклеивания плит покрытия пола и плит ДСП следует применять холодные мастики, разрешенные Минздравом СССР для жилых зданий.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7.190. Поверхность плит перекрытия до устройства по ним основания из деловых отходов досок или древесностружечных плит следует очистить от мусора, неровную поверхность выровнять.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7.191. Монолитные стяжки из легкого бетона под покрытия из сверхтвердых древесноволокнистых плит допускается применять только в отдельных случаях при указании в проекте.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7.192. Укладка досок основания под покрытие из сверхтвердых древесноволокнистых плит должна производиться по лагам перпендикулярно им. Каждую доску основания следует прибивать к лагам гвоздями длиной 50-60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7.193. Стыки, параллельных лагам кромок древесностружечных плит, следует располагать на сплошных (без стыков) по длине лагах. Провесы более 1 мм между кромками смежных плит или досок должны устраняться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острожкой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7.194. Гвозди в древесностружечные плиты следует забивать наклонно на расстоянии 20-25 мм от их кромок с интервалом 100-120 мм вдоль стыка смежных плит и 300-400 мм между стыками.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7.195. Сверхтвердые древесноволокнистые плиты перед укладкой следует увлажнить, для чего тыльную сторону каждой плиты смочить водой (расход на 1 м</w:t>
      </w:r>
      <w:proofErr w:type="gramStart"/>
      <w:r w:rsidRPr="00A118E3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плиты 0,6-0,3 л) и уложить попарно увлажненными сторонами друг к другу в штабель высотой не менее 25 см, укрыть гидроизоляционным материалом и равномерно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пригрузить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нагрузкой не менее 10 кН (100 кгс/м</w:t>
      </w:r>
      <w:r w:rsidRPr="00A118E3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Влажность плит непосредственно перед укладкой их на мастику должна быть в пределах 10±2 % Наличие на плитах влаги в виде капель не допускается.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7.196. Перед прирезкой плиты следует разложить в один слой.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Прирезку сверхтвердых древесноволокнистых плит следует производить по месту укладки с зазором не более 2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7.197. Плиты с дефектами (расслоенные, утолщенные более чем на 0,3 мм, с неровными кромками и др.) применять не допускается.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7.198. Стыкование четырех углов плит в одной точке не допускается. Стыковые кромки плит не должны совпадать с кромками элементов основания пола, устраиваемого из деловых отходов досок или древесностружечных плит.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7.199. Клеевую мастику на основание под сверхтвердые древесноволокнистые плиты следует наносить полосами, отступая от стен (перегородок) на 300-400 мм. Общая площадь приклейки должна быть не менее 40% площади плит.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7.200. Каждую плиту после укладки на мастику следует прибить гвоздями длиной 30-40 мм диаметром 2,5-3 мм с интервалом 120-150 мм по длинной стороне и 70-80 мм по короткой стороне плит. Гвозди следует вбивать на расстоянии 10-12 мм от кромок. Забивка гвоздей должна начинаться от продольной оси симметрии к периферии. Швы между плитами покрытия должны быть зашпаклеваны.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7.201. Установку щелевых плинтусов следует производить через трое суток после укладки покрытия.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7.202. Готовое покрытие пола и плинтусы следует окрасить масляной краской или водостойкой эмалью.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7.203. В узле примыкания пола из ДВП к вертикальным трубопроводам следует предусматривать противопожарную разделку из цементно-песчаного раствора по окружности трубы. Кромки плит должны быть на расстоянии 10 мм от труб, нагреваемых до 80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50 мм при нагреве труб свыше 80°С.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ПОКРЫТИЯ ИЗ НАБОРНОГО И ШТУЧНОГО ПАРКЕТА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7.204. Наборный и штучный паркет должен удовлетворять требованиям ГОСТ 862.1-85.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Паркет из сосны и лиственницы допускается только в помещениях, при эксплуатации которых не будет интенсивного износа полов.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помещении следует укладывать паркет только одной породы древесины и одного рисунка; применение в помещении паркета различного цвета и размера допускается только для создания специального рисунка. Влажность паркета при укладке не должна превышать 10%.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7.205. Поверхность нижележащего слоя перед укладкой паркета следует очистить от мусора, пыли, налипшего раствора.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7.206. Наборный и штучный паркет следует приклеивать к сухому основанию быстротвердеющими мастиками на водостойких вяжущих, применяемых в холодном или подогретом состояниях. Толщина прослойки под паркетом не должна превышать 1 мм.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7.207. Паркет следует укладывать в соответствии с принятым рисунком вплотную к ранее уложенным маячным рядам и тщательно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втапливать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мастику.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больших помещениях два стыкуемых маячных ряда следует укладывать в середине, и работы вести в двух направлениях. В помещениях малого размера маячный ряд следует укладывать у стены, наиболее удаленной от входной двери.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7.208. Сметные планки паркета должны соединяться между собой в шпунт. Зазоры между планками не должны превышать 0,3 мм, а между планками паркета и стенами (перегородками) - 15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7.209. Площадь приклейки паркета, определяемая пробным поднятием планки, должна быть не менее 80% площади этой планки.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7.210. Величина уступа между двумя сметными кромками наборного паркета после укладки не должна превышать 0,5 мм. Низко или высоко уложенные планки следует переложить.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7.211. Выступающие кромки паркета следует отциклевать вровень со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смежными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Зазоры между паркетным покрытием и стенами (перегородками) должны перекрываться плинтусами или галтелями после циклевки паркета.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7.212. Отделку готового отшлифованного покрытия следует производить после окончания всех строительных работ в помещении.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ПОКРЫТИЯ ИЗ ПОЛИВИНИЛХЛОРИДНОГО ЛИНОЛЕУМА НА ТКАНЕВОЙ ПОДОСНОВЕ,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МНОГОСЛОЙНОГО И ОДНОСЛОЙНОГО БЕЗ ПОДОСНОВЫ,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lastRenderedPageBreak/>
        <w:t>НА ТЕПЛОЗВУКОИЗОЛИРУЮЩЕЙ ПОДОСНОВЕ,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ИЗ ЛИНОЛЕУМОВ АЛКИДНОГО И РЕЗИНОВОГО (РЕЛИНА),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А ТАКЖЕ ПОКРЫТИЯ РУЛОННЫЕ НА ОСНОВЕ СИНТЕТИЧЕСКИХ ВОЛОКОН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7.213. Линолеум должен удовлетворять требованиям ГОСТ 7251-77, ГОСТ 19247-73, ГОСТ 14632-79, ГОСТ 18108-82, ГОСТ 16914-71; покрытие для полов рулонное на основе синтетических волокон - ТУ 21-29-35-75.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7.214. Перед укладкой покрытий бетонное основание следует выровнять. Бугорки на поверхности бетона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сошлифовать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западающие неровности, трещины и выбоины зашпаклевать раствором, раствор приготавливается из цементно-песчаной смеси марки 150, поливинилацетатной дисперсии, разбавленной водой в соотношении 1:4 (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дисперсия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:в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ода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). Шпаклевку в местах заделки следует просушить. Поверхность нижележащего слоя перед укладкой покрытий должна быть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обеспылена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без увлажнения водой.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7.215. Стыки сборной стяжки из древесноволокнистых плит перед приклейкой линолеума должны быть заклеены по всей длине полосками плотной бумаги или липкой лентой шириной 40-60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7.216. Влажность панелей междуэтажных перекрытий должна быть не более 4%, стяжек на основе цементного вяжущего не более 7%, стяжек из древесноволокнистых плит не более 12%.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7.217. Размеры сварных линолеумных ковров следует устанавливать по картам раскроя в соответствии с размерами помещений.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Отклонения размеров сварных ковров от размеров помещений не должны превышать +10 мм. Минусовые отклонения не допускаются. Линолеумные ковры следует доставлять на строящийся объект непосредственно перед укладкой. Хранение их на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приобъектном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складе не допускается.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7.218. Рулоны линолеума и синтетических ворсовых ковров следует раскатывать для вылеживания не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позднее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чем за двое суток до их укладки при температуре воздуха не ниже 15°С. Деформированные места листов, не прилегающие к основанию при вылеживании, следует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пригружать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7.219. Линолеум и синтетические ворсовые ковры должны быть приклеены к нижележащему слою по всей площади, за исключением случаев особо оговоренных в проекте.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7.220. Для приклейки покрытий следует применять быстротвердеющие клеи, рекомендованные ГОСТом (ТУ) на линолеумы, обеспечивающие прочность при отрыве не менее 0,15 МПа (1,5 кгс/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 возрасте 3 суток. Толщина прослойки из мастики не должна превышать 0,8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7.221. Зазоры между смежными кромками листов линолеума и синтетических ворсовых ковров в покрытии не допускаются. Эти листы следует укладывать с напуском 10 мм на ранее уложенные, приклеивая по всей площади, за исключением краев шириной около 100 мм. В местах напуска оба листа одновременно разрезают вдоль по линейке. Отрезанные полоски удаляют, и края листов приклеивают к нижележащему слою. Во время приклейки листы следует плотно прижимать к нижележащему слою. Кромки смежных листов поливинилхлоридного линолеума рекомендуется сваривать между собой. Предел прочность на растяжение сварного шва линолеума должен быть не менее 2,5 МПа (25 кгс/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7.222. При наклейке линолеума на плоскости, расположенные под углом, радиус его перегиба должен быть не менее 50 мм; в этих местах под линолеум необходимо укладывать рейку или плинтус соответствующего профиля.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7.223. Листы пластиката в покрытии пола следует сваривать между собой согласно главе СНиП «Защита строительных конструкций от коррозии. Правила производства и приемки работ».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7.224. Края листов в местах примыкания к стенам и перегородкам необходимо перекрывать плинтусами или галтелями после приклейки и сварки листов покрытия.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8. ПРАВИЛА ПРИЕМКИ И МЕТОДЫ КОНТРОЛЯ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8.1. Приемке подлежат законченные работы по устройству каждого элемента пола и грунтовых оснований, приемка должна производиться до устройства вышележащих элементов пола.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8.2. Скрываемые в последующем работы по устройству каждого элемента пола следует оформлять актами на скрытые работы.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8.3. Приемка полов, элементы которых выполнены из материалов, твердеющих после укладки, допускается не ранее достижения ими проектной прочности, прочность этих материалов необходимо определять испытанием контрольных образцов в количестве не менее трех на каждые 500 м</w:t>
      </w:r>
      <w:proofErr w:type="gramStart"/>
      <w:r w:rsidRPr="00A118E3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слоя пола. При отсутствии контрольных образцов должно производиться испытание на сжатие не менее трех кубиков с неразрушенной структурой и размером ребра не менее 25 мм, взятых из слоя пола.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8.4. Отклонение плоскости грунтового основания, подстилающего слоя, стяжек и покрытий от горизонтали или заданного уклона допускается в пределах до 0,2% соответствующего размера помещения, но не более 50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8.5. Отклонения поверхности каждого элемента пола от плоскости не должны превышать величин, указанных в табл. 4.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</w:t>
      </w:r>
    </w:p>
    <w:tbl>
      <w:tblPr>
        <w:tblW w:w="99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5790"/>
        <w:gridCol w:w="2477"/>
      </w:tblGrid>
      <w:tr w:rsidR="00A118E3" w:rsidRPr="00A118E3" w:rsidTr="00A118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Слои пола</w:t>
            </w: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Допускаемые просветы при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проверке двухметровой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рейкой, </w:t>
            </w:r>
            <w:proofErr w:type="gramStart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</w:tr>
      <w:tr w:rsidR="00A118E3" w:rsidRPr="00A118E3" w:rsidTr="00A118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Грунтовые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A118E3" w:rsidRPr="00A118E3" w:rsidTr="00A118E3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Подстилающие слои</w:t>
            </w: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Щебеночные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Бетонные при укладке по подстилающему слою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оклеечной</w:t>
            </w:r>
            <w:proofErr w:type="spell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гидроизоляции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 покрытий на прослойке из горячей мастики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Бетонные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 покрытиях других типов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118E3" w:rsidRPr="00A118E3" w:rsidTr="00A118E3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Стяжки монолитные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и из сборных 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пли</w:t>
            </w:r>
            <w:proofErr w:type="gramEnd"/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Материалы стяжек по проекту, применяемые при укладке покрытий: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поливинилацетатных, из линолеума, рулонных на основе синтетических волокон, паркета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плит, торцевой шашки и кирпича, настилаемых по прослойке из горячей мастики,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поливинилацетатно-цементнобетонных</w:t>
            </w:r>
            <w:proofErr w:type="spell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при укладке гидроизоляции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покрытий других типов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брусчатки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Асфальтобетонных, по прослойке из песка, торцовых, из чугунных плит, кирпича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118E3" w:rsidRPr="00A118E3" w:rsidTr="00A118E3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Покрытия</w:t>
            </w: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Бетонные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мозаично-бетонные, цементно-песчаные,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поливинилацетатно</w:t>
            </w:r>
            <w:proofErr w:type="spell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-цементно-бетонные, из кислотостойкого и жаростойкого бетона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прослойке из мастики, 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торцовое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из чугунных и стальных плит, кирпича всех видов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плит бетонных, цементно-песчаных, мозаично-бетонных,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асфальтобетонных, керамических, каменных, шлакоситалловых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Поливинилацетатные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дощатые, паркетные, из линолеума,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рулонное на основе синтетических волокон,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из сверхтвердых древесноволокнистых плит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8.6. Ширину швов между штучными материалами в покрытии пола следует контролировать с точностью до 0,1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8.7. Отклонения толщины элементов пола от проектной допускаются только в отдельных местах не более 10% заданной толщины. Проверку толщины элементов пола следует производить при их устройстве.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8.8. Величину уступа между двумя смежными изделиями покрытий из штучных материалов, листов и рулонов следует проверять с точностью до 0,1 мм. Они не должны превышать значений, указанных в табл. 5.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5</w:t>
      </w:r>
    </w:p>
    <w:tbl>
      <w:tblPr>
        <w:tblW w:w="1153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6"/>
        <w:gridCol w:w="2219"/>
      </w:tblGrid>
      <w:tr w:rsidR="00A118E3" w:rsidRPr="00A118E3" w:rsidTr="00A118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Покрытие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Величина уступа, </w:t>
            </w:r>
            <w:proofErr w:type="gramStart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</w:p>
        </w:tc>
      </w:tr>
      <w:tr w:rsidR="00A118E3" w:rsidRPr="00A118E3" w:rsidTr="00A118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брусчатки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118E3" w:rsidRPr="00A118E3" w:rsidTr="00A118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Кирпичные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торцовое, из бетонных, асфальтобетонных, чугунных и стальных плит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118E3" w:rsidRPr="00A118E3" w:rsidTr="00A118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керамических, каменных, цементно-песчаных, мозаично-бетонных, шлакоситалловых плит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118E3" w:rsidRPr="00A118E3" w:rsidTr="00A118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Дощатые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паркетные, из линолеума, из сверхтвердых древесноволокнистых плит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8.9. Величина уступа между покрытиями и элементами окаймления пола не должна превышать 2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8.10. Отклонения швов в покрытии между рядами штучных материалов от прямого направления не должны превышать 10 мм на 10м длины ряда.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8.11. Трещины, выбоины и открытые швы в элементах пола, а также щели между плинтусами (галтелями) и покрытием пола или стенами (перегородками) не допускаются. Указанные дефекты следует исправить.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8.12. В процессе устройства полов следует периодически через каждые 50-70 м контролировать:</w:t>
      </w:r>
    </w:p>
    <w:p w:rsidR="00A118E3" w:rsidRPr="00A118E3" w:rsidRDefault="00A118E3" w:rsidP="00A118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ровность поверхности подстилающего слоя, сплошных стяжек и покрытий;</w:t>
      </w:r>
    </w:p>
    <w:p w:rsidR="00A118E3" w:rsidRPr="00A118E3" w:rsidRDefault="00A118E3" w:rsidP="00A118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величину уступов между смежными изделиями в покрытии пола из штучных материалов;</w:t>
      </w:r>
    </w:p>
    <w:p w:rsidR="00A118E3" w:rsidRPr="00A118E3" w:rsidRDefault="00A118E3" w:rsidP="00A118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величину уступов между покрытием и окаймлением;</w:t>
      </w:r>
    </w:p>
    <w:p w:rsidR="00A118E3" w:rsidRPr="00A118E3" w:rsidRDefault="00A118E3" w:rsidP="00A118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соблюдение заданных толщин, плоскостей, отметок и уклонов;</w:t>
      </w:r>
    </w:p>
    <w:p w:rsidR="00A118E3" w:rsidRPr="00A118E3" w:rsidRDefault="00A118E3" w:rsidP="00A118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уплотнение каждого слоя и плотность прилегания вышележащих слоев пола к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нижележащим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A118E3" w:rsidRPr="00A118E3" w:rsidRDefault="00A118E3" w:rsidP="00A118E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участки пола с отклонениями по указанным параметрам, превышающим допустимые, должны быть переложены.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8.13. Ровность поверхности каждого элемента пола проверяется во всех направлениях уровней и контрольной рейкой длиной 2 м, а при наличии уклона - контрольной рейкой-шаблоном с уровнем.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8.14. Полы с уклонами, предназначенными для стока жидкостей, следует проверять пробной поливкой водой. Места застоя воды на полу (впадины) должны быть устранены.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8.15. Сцепление покрытий, а также монолитных стяжек, уложенных по бетонному основанию, с нижележащими слоями пола или перекрытием следует определять простукиванием всей площади. На участках, где изменение звука при простукивании укажет на отсутствие сцепления, покрытие или монолитная стяжка должны быть переложены.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8.16. Просадка покрытий из штучных материалов, уложенных на прослойку из горячей мастики, под сосредоточенной нагрузкой 2 кН (200 кгс) не должна превышать 1,5 мм; мастика не должна выступать из швов на поверхность покрытия.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Нагрузка действует в течение двух суток при максимальной температуре нагрева пола, возможной при эксплуатации. Нагрузка на покрытие передается штампом размером 30x30 мм, устанавливаемым непосредственно в углу элемента покрытия (плиты, паркетной планки).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8.17. Полы, не подвергающиеся нагреву проверяются под нагрузкой при температуре 30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климатических районах европейской части севернее 50°, а в климатических районах азиатской части - севернее 53° географической широты, при температуре 36°С - в климатических районах южнее указанных широт.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8.18. Просадка покрытий дощатых, из паркетных досок и щитов, а также из сверхтвердых древесноволокнистых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плит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устраиваемых по лагам под кратковременной сосредоточенной нагрузкой 1 кН (100 кгс), приложенной в середине пролета покрытия между лагами и передаваемой штампом размером 30x30 мм, не должна превышать 1 мм.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8.19. Просадка покрытия из полимерных материалов (поливинилацетатного, из линолеума и др.) под сосредоточенной нагрузкой 50 кН не должна превышать 1 мм. Нагрузка на покрытие должна передаваться роликом диаметром 30 мм, шириной 15 мм и действовать в продолжение 24 ч. При этом в материале покрытия под роликом не должно появляться трещин.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8.20. Требования стандартов, технических условий в отношении качества поставляемых материалов контролирует предприятие-изготовитель. При приемке материалов на склад должно проверяться наличие маркировки, установленной стандартом.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Материалы должны храниться по видам в условиях, устанавливаемых стандартом.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Испытание этих материалов непосредственно на стройке перед их использованием должно производиться в случае обнаружения видимых дефектов (на соответствие их требованиям ГОСТ), несоответствия условий хранения требованиям стандарта, нарушения маркировки и по истечении гарантийного срока хранения.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8.21. Температура и относительная влажность воздуха в помещении должны определяться на высоте 0,5 м от уровня пола с точностью до 1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°С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1% относительной влажности.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8.22. Влажность паркета, паркетных досок и щитов, деревянных лаг и прокладок, а также досок для дощатых покрытий следует проверять по ГОСТ 16588-91.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8.23. Контроль качества поставляемой асфальтобетонной смеси следует производить по ГОСТ 12801-84.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8.24. Марку цементного бетона определяют по ГОСТ 10180-90. Контроль марки и подвижности цементно-песчаного раствора следует производить по ГОСТ 5802-86.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8.25. Температуру размягчения битума для мастик определяют по ГОСТ 11506-73.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Приложение 1</w:t>
      </w:r>
    </w:p>
    <w:p w:rsidR="00A118E3" w:rsidRPr="00A118E3" w:rsidRDefault="00A118E3" w:rsidP="00A118E3">
      <w:pPr>
        <w:shd w:val="clear" w:color="auto" w:fill="EEEEEE"/>
        <w:spacing w:before="150" w:after="0" w:line="300" w:lineRule="atLeast"/>
        <w:jc w:val="center"/>
        <w:outlineLvl w:val="2"/>
        <w:rPr>
          <w:rFonts w:ascii="Arial" w:eastAsia="Times New Roman" w:hAnsi="Arial" w:cs="Arial"/>
          <w:b/>
          <w:bCs/>
          <w:color w:val="004F92"/>
          <w:sz w:val="21"/>
          <w:szCs w:val="21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4F92"/>
          <w:sz w:val="21"/>
          <w:szCs w:val="21"/>
          <w:lang w:eastAsia="ru-RU"/>
        </w:rPr>
        <w:t>СОСТАВЫ ДЛЯ ПОКРЫТИЙ, ПРОСЛОЕК, СТЯЖЕК И ПОДСТИЛАЮЩИХ СЛОЕВ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1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ТЕМПЕРАТУРА РАЗМЯГЧЕНИЯ МАСТИК И ТЕМПЕРАТУРА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ИХ ВО ВРЕМЯ ПРИГОТОВЛЕНИЯ И НАНЕСЕНИЯ</w:t>
      </w:r>
    </w:p>
    <w:tbl>
      <w:tblPr>
        <w:tblW w:w="950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909"/>
        <w:gridCol w:w="2149"/>
        <w:gridCol w:w="748"/>
        <w:gridCol w:w="962"/>
        <w:gridCol w:w="970"/>
        <w:gridCol w:w="1203"/>
      </w:tblGrid>
      <w:tr w:rsidR="00A118E3" w:rsidRPr="00A118E3" w:rsidTr="00A118E3">
        <w:tc>
          <w:tcPr>
            <w:tcW w:w="25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Географические районы строительства зданий, в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которых устраиваются полы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Температура размягчения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методу</w:t>
            </w:r>
            <w:proofErr w:type="gramStart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«к</w:t>
            </w:r>
            <w:proofErr w:type="gramEnd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ольцо</w:t>
            </w:r>
            <w:proofErr w:type="spellEnd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 шар»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(ГОСТ 11506-73*), °С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Температура мастик в</w:t>
            </w:r>
            <w:proofErr w:type="gramStart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°С</w:t>
            </w:r>
            <w:proofErr w:type="gramEnd"/>
          </w:p>
        </w:tc>
      </w:tr>
      <w:tr w:rsidR="00A118E3" w:rsidRPr="00A118E3" w:rsidTr="00A118E3">
        <w:tc>
          <w:tcPr>
            <w:tcW w:w="25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 время приготовления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 нанесении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 менее</w:t>
            </w:r>
          </w:p>
        </w:tc>
      </w:tr>
      <w:tr w:rsidR="00A118E3" w:rsidRPr="00A118E3" w:rsidTr="00A118E3">
        <w:tc>
          <w:tcPr>
            <w:tcW w:w="25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вяжущего</w:t>
            </w:r>
            <w:proofErr w:type="gramEnd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 для мастик не менее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мастики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летом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зимой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118E3" w:rsidRPr="00A118E3" w:rsidTr="00A118E3">
        <w:tc>
          <w:tcPr>
            <w:tcW w:w="25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Севернее широты 50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европейской части и 53°С для азиатской части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Битумная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180-200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200-220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</w:tr>
      <w:tr w:rsidR="00A118E3" w:rsidRPr="00A118E3" w:rsidTr="00A118E3">
        <w:tc>
          <w:tcPr>
            <w:tcW w:w="25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Дегтевая*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70-80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140-150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150-160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A118E3" w:rsidRPr="00A118E3" w:rsidTr="00A118E3">
        <w:tc>
          <w:tcPr>
            <w:tcW w:w="25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Южнее вышеуказанных широт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Битумная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190-210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210-225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</w:t>
            </w:r>
          </w:p>
        </w:tc>
      </w:tr>
      <w:tr w:rsidR="00A118E3" w:rsidRPr="00A118E3" w:rsidTr="00A118E3">
        <w:tc>
          <w:tcPr>
            <w:tcW w:w="25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Дегтевая*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150-160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</w:tr>
      <w:tr w:rsidR="00A118E3" w:rsidRPr="00A118E3" w:rsidTr="00A118E3">
        <w:tc>
          <w:tcPr>
            <w:tcW w:w="25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Независимо от географического района при нагревании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пола во время эксплуатации в пределах 40-70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Битумная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110-120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200-220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210-225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A118E3" w:rsidRPr="00A118E3" w:rsidTr="00A118E3">
        <w:tc>
          <w:tcPr>
            <w:tcW w:w="25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Дегтевая*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100-110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</w:tbl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Примечания:</w:t>
      </w:r>
    </w:p>
    <w:p w:rsidR="00A118E3" w:rsidRPr="00A118E3" w:rsidRDefault="00A118E3" w:rsidP="00A118E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Температуру мастики при ее приготовлении и нанесении необходимо систематически контролировать.</w:t>
      </w:r>
    </w:p>
    <w:p w:rsidR="00A118E3" w:rsidRPr="00A118E3" w:rsidRDefault="00A118E3" w:rsidP="00A118E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Битумная мастика, применяемая для приклейки линолеума, должна быть разжижена бензином или иным летучим растворителем (15-20% по массе). Температура мастики при нанесении в прослойку должна быть 60-70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°С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при добавке растворителя во время приготовления 100-120°С.</w:t>
      </w:r>
    </w:p>
    <w:p w:rsidR="00A118E3" w:rsidRPr="00A118E3" w:rsidRDefault="00A118E3" w:rsidP="00A118E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прослоек в полах из штучных материалов, не подвергающихся в процессе эксплуатации интенсивному увлажнению (торцевых, паркетных, из линолеума и др.), допускается применение мастик, не содержащих в своем составе минерального порошка и волокнистых наполнителей.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* Дегтевая мастика применяется только в торцовых покрытиях.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2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СОСТАВЫ БЕТОНА</w:t>
      </w:r>
    </w:p>
    <w:tbl>
      <w:tblPr>
        <w:tblW w:w="1021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575"/>
        <w:gridCol w:w="1412"/>
        <w:gridCol w:w="548"/>
        <w:gridCol w:w="799"/>
        <w:gridCol w:w="638"/>
        <w:gridCol w:w="1184"/>
      </w:tblGrid>
      <w:tr w:rsidR="00A118E3" w:rsidRPr="00A118E3" w:rsidTr="00A118E3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Осадка конуса*</w:t>
            </w:r>
          </w:p>
        </w:tc>
        <w:tc>
          <w:tcPr>
            <w:tcW w:w="313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Состав по массе при марке цемента не ниже 400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цемент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песок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щебень или гравий</w:t>
            </w:r>
          </w:p>
        </w:tc>
      </w:tr>
      <w:tr w:rsidR="00A118E3" w:rsidRPr="00A118E3" w:rsidTr="00A118E3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покрытий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A118E3" w:rsidRPr="00A118E3" w:rsidTr="00A118E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  <w:tr w:rsidR="00A118E3" w:rsidRPr="00A118E3" w:rsidTr="00A118E3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прослойки под покрытия из чугунных и стальных плит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</w:t>
            </w:r>
          </w:p>
        </w:tc>
      </w:tr>
    </w:tbl>
    <w:p w:rsidR="00A118E3" w:rsidRPr="00A118E3" w:rsidRDefault="00A118E3" w:rsidP="00A11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* Осадка конуса бетона для укладки методом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вибровакуумирования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 должна быть 8-10 см.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3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СОСТАВЫ ПОЛИВИНИЛАЦЕТАТНО-ЦЕМЕНТНОГО И ЛАТЕКСНО-ЦЕМЕНТНОГО БЕТОНА</w:t>
      </w:r>
    </w:p>
    <w:tbl>
      <w:tblPr>
        <w:tblW w:w="99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660"/>
        <w:gridCol w:w="975"/>
        <w:gridCol w:w="712"/>
        <w:gridCol w:w="550"/>
        <w:gridCol w:w="756"/>
        <w:gridCol w:w="994"/>
        <w:gridCol w:w="624"/>
        <w:gridCol w:w="798"/>
        <w:gridCol w:w="2011"/>
      </w:tblGrid>
      <w:tr w:rsidR="00A118E3" w:rsidRPr="00A118E3" w:rsidTr="00A118E3">
        <w:tc>
          <w:tcPr>
            <w:tcW w:w="185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Осадка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конуса</w:t>
            </w:r>
          </w:p>
        </w:tc>
        <w:tc>
          <w:tcPr>
            <w:tcW w:w="0" w:type="auto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Состав по массе при марке цемента не ниже 400</w:t>
            </w:r>
          </w:p>
        </w:tc>
        <w:tc>
          <w:tcPr>
            <w:tcW w:w="201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Способ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приготовления</w:t>
            </w:r>
          </w:p>
        </w:tc>
      </w:tr>
      <w:tr w:rsidR="00A118E3" w:rsidRPr="00A118E3" w:rsidTr="00A118E3">
        <w:tc>
          <w:tcPr>
            <w:tcW w:w="185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ПВА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дисперсия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латекс СКС-65 ГП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марки «Б»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вода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цемент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пигменты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песок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щебень </w:t>
            </w:r>
          </w:p>
        </w:tc>
        <w:tc>
          <w:tcPr>
            <w:tcW w:w="201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118E3" w:rsidRPr="00A118E3" w:rsidTr="00A118E3">
        <w:tc>
          <w:tcPr>
            <w:tcW w:w="1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Для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поливинилацетатно-цементнобетонных</w:t>
            </w:r>
            <w:proofErr w:type="spell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покрытий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0,05-0,1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201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смеси поливинилацетатной дисперсии или латекса с водой добавляют цемент и после перемешивания заполнитель и пигмент. Перемешивание продолжают до получения однородной массы</w:t>
            </w:r>
          </w:p>
        </w:tc>
      </w:tr>
      <w:tr w:rsidR="00A118E3" w:rsidRPr="00A118E3" w:rsidTr="00A118E3">
        <w:tc>
          <w:tcPr>
            <w:tcW w:w="1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Для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латексно-цементнобетонных</w:t>
            </w:r>
            <w:proofErr w:type="spell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покрыти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0,05-0,1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201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118E3" w:rsidRPr="00A118E3" w:rsidRDefault="00A118E3" w:rsidP="00A118E3">
      <w:pPr>
        <w:shd w:val="clear" w:color="auto" w:fill="FFFFFF"/>
        <w:spacing w:before="105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4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СОСТАВЫ ЦЕМЕНТНО-ПЕСЧАНОГО РАСТВОРА</w:t>
      </w:r>
    </w:p>
    <w:tbl>
      <w:tblPr>
        <w:tblW w:w="815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666"/>
        <w:gridCol w:w="1817"/>
        <w:gridCol w:w="938"/>
        <w:gridCol w:w="1367"/>
        <w:gridCol w:w="1092"/>
      </w:tblGrid>
      <w:tr w:rsidR="00A118E3" w:rsidRPr="00A118E3" w:rsidTr="00A118E3">
        <w:tc>
          <w:tcPr>
            <w:tcW w:w="227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Назначение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Марка 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Глубина погружения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конуса, </w:t>
            </w:r>
            <w:proofErr w:type="gramStart"/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Состав по массе при марке цемента не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ниже 400</w:t>
            </w:r>
          </w:p>
        </w:tc>
      </w:tr>
      <w:tr w:rsidR="00A118E3" w:rsidRPr="00A118E3" w:rsidTr="00A118E3">
        <w:tc>
          <w:tcPr>
            <w:tcW w:w="2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цемент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песок</w:t>
            </w:r>
          </w:p>
        </w:tc>
      </w:tr>
      <w:tr w:rsidR="00A118E3" w:rsidRPr="00A118E3" w:rsidTr="00A118E3">
        <w:tc>
          <w:tcPr>
            <w:tcW w:w="227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покрытий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A118E3" w:rsidRPr="00A118E3" w:rsidTr="00A118E3">
        <w:tc>
          <w:tcPr>
            <w:tcW w:w="2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A118E3" w:rsidRPr="00A118E3" w:rsidTr="00A118E3">
        <w:tc>
          <w:tcPr>
            <w:tcW w:w="227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прослоек и заполнения швов в покрытиях из штучных материалов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A118E3" w:rsidRPr="00A118E3" w:rsidTr="00A118E3">
        <w:tc>
          <w:tcPr>
            <w:tcW w:w="2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A118E3" w:rsidRPr="00A118E3" w:rsidTr="00A118E3">
        <w:tc>
          <w:tcPr>
            <w:tcW w:w="2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A118E3" w:rsidRPr="00A118E3" w:rsidTr="00A118E3">
        <w:tc>
          <w:tcPr>
            <w:tcW w:w="227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стяжек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A118E3" w:rsidRPr="00A118E3" w:rsidTr="00A118E3">
        <w:tc>
          <w:tcPr>
            <w:tcW w:w="227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</w:tbl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Приложение 2</w:t>
      </w:r>
    </w:p>
    <w:p w:rsidR="00A118E3" w:rsidRPr="00A118E3" w:rsidRDefault="00A118E3" w:rsidP="00A118E3">
      <w:pPr>
        <w:shd w:val="clear" w:color="auto" w:fill="EEEEEE"/>
        <w:spacing w:before="150" w:after="0" w:line="300" w:lineRule="atLeast"/>
        <w:jc w:val="center"/>
        <w:outlineLvl w:val="3"/>
        <w:rPr>
          <w:rFonts w:ascii="Arial" w:eastAsia="Times New Roman" w:hAnsi="Arial" w:cs="Arial"/>
          <w:b/>
          <w:bCs/>
          <w:color w:val="004F92"/>
          <w:sz w:val="21"/>
          <w:szCs w:val="21"/>
          <w:lang w:eastAsia="ru-RU"/>
        </w:rPr>
      </w:pPr>
      <w:r w:rsidRPr="00A118E3">
        <w:rPr>
          <w:rFonts w:ascii="Arial" w:eastAsia="Times New Roman" w:hAnsi="Arial" w:cs="Arial"/>
          <w:b/>
          <w:bCs/>
          <w:color w:val="004F92"/>
          <w:sz w:val="21"/>
          <w:szCs w:val="21"/>
          <w:lang w:eastAsia="ru-RU"/>
        </w:rPr>
        <w:t>СОСТАВЫ ДЛЯ ПОКРЫТИЙ, ПРОСЛОЕК, СТЯЖЕК И ПОДСТИЛАЮЩИХ СЛОЕВ</w:t>
      </w:r>
    </w:p>
    <w:tbl>
      <w:tblPr>
        <w:tblW w:w="92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316"/>
        <w:gridCol w:w="1803"/>
        <w:gridCol w:w="2840"/>
        <w:gridCol w:w="1612"/>
      </w:tblGrid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машин и оборудования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Марка машины, оборудования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Основные параметры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Назначение машины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 для приготовления и подачи жестких растворов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СО-126А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СО-165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2,5 м</w:t>
            </w:r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3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и транспортирование жестких цементно-песчаных растворов от места выгрузки до места укладки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 для приготовления и подачи жестких растворов с механизмом загрузки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СО-157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7,5 м</w:t>
            </w:r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3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и транспортирование жестких цементно-песчаных растворов от места выгрузки до места укладки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Виброрейка</w:t>
            </w:r>
            <w:proofErr w:type="spell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шириной захвата 1,5 м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СО-131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35 м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Уплотнение растворов и бетонов покрытий и подготовок полов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Виброрейка</w:t>
            </w:r>
            <w:proofErr w:type="spell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шириной захвата 3,0 м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СО-132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30 м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Уплотнение растворов и бетонов покрытий и подготовок полов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 мозаично-шлифовальная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СО-111А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20 м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Шлифование мозаичных покрытий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Самоходная мозаично-шлифовальная машина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СО-113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55 м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Шлифование мозаичных покрытий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Пылесос промышленный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ПО-21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100 м</w:t>
            </w:r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3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поверхностей от пыли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 для заглаживания бетонных полов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СО-103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40 м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Заглаживание бетонных поверхностей диском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 для затирки цементных стяжек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СО-89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ind w:hanging="39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50 м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Затирка поверхностей цементно-песчаных полов и стяжек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Машина для заглаживания бетонных поверхностей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СО-135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60-100 м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Заглаживание бетонных поверхностей лопастями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Станок для резки гранита и мрамора с алмазным диском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распиловки каменных материалов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Растворосмеситель</w:t>
            </w:r>
            <w:proofErr w:type="spellEnd"/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СО-23В</w:t>
            </w: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СО-26В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приготовления ц/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мозаичного растворов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Машины для нарезки деформационных швов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ДС-133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Габариты 2340x1540 мм производительность 100 м/час - продольная, 30 м/час - поперечная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з-д «Октябрьская кузница»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СССР</w:t>
            </w:r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Станция СО-136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наливных полов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Комплект оборудования для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вакуумирования</w:t>
            </w:r>
            <w:proofErr w:type="spell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бетона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до 25 м</w:t>
            </w:r>
            <w:proofErr w:type="gramStart"/>
            <w:r w:rsidRPr="00A118E3">
              <w:rPr>
                <w:rFonts w:ascii="Arial" w:eastAsia="Times New Roman" w:hAnsi="Arial" w:cs="Arial"/>
                <w:color w:val="000000"/>
                <w:sz w:val="15"/>
                <w:szCs w:val="15"/>
                <w:vertAlign w:val="superscript"/>
                <w:lang w:eastAsia="ru-RU"/>
              </w:rPr>
              <w:t>2</w:t>
            </w:r>
            <w:proofErr w:type="gramEnd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бетонных подготовок и полов из пластичного бетона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Выпускается заводами </w:t>
            </w:r>
            <w:proofErr w:type="spellStart"/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Минстройдормаша</w:t>
            </w:r>
            <w:proofErr w:type="spellEnd"/>
          </w:p>
        </w:tc>
      </w:tr>
      <w:tr w:rsidR="00A118E3" w:rsidRPr="00A118E3" w:rsidTr="00A118E3">
        <w:tc>
          <w:tcPr>
            <w:tcW w:w="1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Краскораспылитель пневматический</w:t>
            </w:r>
          </w:p>
        </w:tc>
        <w:tc>
          <w:tcPr>
            <w:tcW w:w="13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СО-6Б</w:t>
            </w:r>
          </w:p>
        </w:tc>
        <w:tc>
          <w:tcPr>
            <w:tcW w:w="18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Производительность 0,1 л/мин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11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лакировки поверхности полов</w:t>
            </w:r>
          </w:p>
        </w:tc>
        <w:tc>
          <w:tcPr>
            <w:tcW w:w="16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A118E3" w:rsidRPr="00A118E3" w:rsidRDefault="00A118E3" w:rsidP="00A11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A118E3" w:rsidRPr="00A118E3" w:rsidRDefault="00A118E3" w:rsidP="00A11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Рекомендации по устройству полов разработаны в развитие СНиП 3.04.01-87 раздел 4 «Устройство полов».</w:t>
      </w: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Они содержат девять разделов, где подробно изложены правила устройства и приемки всех слоев пола, а именно:</w:t>
      </w:r>
    </w:p>
    <w:p w:rsidR="00A118E3" w:rsidRPr="00A118E3" w:rsidRDefault="00A118E3" w:rsidP="00A118E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грунтовых оснований;</w:t>
      </w:r>
    </w:p>
    <w:p w:rsidR="00A118E3" w:rsidRPr="00A118E3" w:rsidRDefault="00A118E3" w:rsidP="00A118E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подстилающих слоев;</w:t>
      </w:r>
    </w:p>
    <w:p w:rsidR="00A118E3" w:rsidRPr="00A118E3" w:rsidRDefault="00A118E3" w:rsidP="00A118E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стяжек;</w:t>
      </w:r>
    </w:p>
    <w:p w:rsidR="00A118E3" w:rsidRPr="00A118E3" w:rsidRDefault="00A118E3" w:rsidP="00A118E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гидроизоляционных слоев;</w:t>
      </w:r>
    </w:p>
    <w:p w:rsidR="00A118E3" w:rsidRPr="00A118E3" w:rsidRDefault="00A118E3" w:rsidP="00A118E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теплозвукоизоляции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A118E3" w:rsidRPr="00A118E3" w:rsidRDefault="00A118E3" w:rsidP="00A118E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покрытий полов - 40 видов;</w:t>
      </w:r>
    </w:p>
    <w:p w:rsidR="00A118E3" w:rsidRPr="00A118E3" w:rsidRDefault="00A118E3" w:rsidP="00A118E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приемки и методы контроля.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двух Приложения представлены:</w:t>
      </w:r>
    </w:p>
    <w:p w:rsidR="00A118E3" w:rsidRPr="00A118E3" w:rsidRDefault="00A118E3" w:rsidP="00A118E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составы смесей для покрытий, стяжек, прослоек;</w:t>
      </w:r>
    </w:p>
    <w:p w:rsidR="00A118E3" w:rsidRPr="00A118E3" w:rsidRDefault="00A118E3" w:rsidP="00A118E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список машин и механизмов для устройства полов.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разработке настоящих Рекомендаций использованы документы:</w:t>
      </w:r>
    </w:p>
    <w:p w:rsidR="00A118E3" w:rsidRPr="00A118E3" w:rsidRDefault="00A118E3" w:rsidP="00A118E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2.03.13-88 «Полы»;</w:t>
      </w:r>
    </w:p>
    <w:p w:rsidR="00A118E3" w:rsidRPr="00A118E3" w:rsidRDefault="00A118E3" w:rsidP="00A118E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СНиП 3.04.01-87 «Изоляционные и отделочные покрытия» раздел 4 «Устройство полов»;</w:t>
      </w:r>
    </w:p>
    <w:p w:rsidR="00A118E3" w:rsidRPr="00A118E3" w:rsidRDefault="00A118E3" w:rsidP="00A118E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«Рекомендации по устройству бетонных полов с упроченным верхним слоем, бесшовных полов на основе эпоксидных и полиуретановых смол, из кислотостойкого бетона, из жароупорного бетона»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ЦНИИПромзданий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118E3" w:rsidRPr="00A118E3" w:rsidRDefault="00A118E3" w:rsidP="00A118E3">
      <w:pPr>
        <w:shd w:val="clear" w:color="auto" w:fill="FFFFFF"/>
        <w:spacing w:before="105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Кроме того,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использованы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118E3" w:rsidRPr="00A118E3" w:rsidRDefault="00A118E3" w:rsidP="00A118E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«Инструкция по проектированию, устройству и эксплуатации полов с покрытием </w:t>
      </w:r>
      <w:proofErr w:type="gram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</w:t>
      </w:r>
      <w:proofErr w:type="gram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сверхтвердых ДВП»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Госгражданстрой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A118E3" w:rsidRPr="00A118E3" w:rsidRDefault="00A118E3" w:rsidP="00A118E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«Инструкция по устройству полов в жилых и общественных зданиях» </w:t>
      </w:r>
      <w:proofErr w:type="spellStart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НИИМосстрой</w:t>
      </w:r>
      <w:proofErr w:type="spellEnd"/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1995;</w:t>
      </w:r>
    </w:p>
    <w:p w:rsidR="00A118E3" w:rsidRPr="00A118E3" w:rsidRDefault="00A118E3" w:rsidP="00A118E3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18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Обзорная информация «Индустриальные технологии и эффективные средства механизации при устройстве полов» ВНИИНТПИ, 1989 г. и др.</w:t>
      </w:r>
    </w:p>
    <w:p w:rsidR="00740CB2" w:rsidRDefault="00740CB2"/>
    <w:sectPr w:rsidR="00740CB2" w:rsidSect="00A118E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408A"/>
    <w:multiLevelType w:val="multilevel"/>
    <w:tmpl w:val="4C2A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24771"/>
    <w:multiLevelType w:val="multilevel"/>
    <w:tmpl w:val="EAF2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04DE4"/>
    <w:multiLevelType w:val="multilevel"/>
    <w:tmpl w:val="C0B0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02D24"/>
    <w:multiLevelType w:val="multilevel"/>
    <w:tmpl w:val="CFEA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06461"/>
    <w:multiLevelType w:val="multilevel"/>
    <w:tmpl w:val="2EB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87324"/>
    <w:multiLevelType w:val="multilevel"/>
    <w:tmpl w:val="1518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E3"/>
    <w:rsid w:val="00000B7F"/>
    <w:rsid w:val="00000C7D"/>
    <w:rsid w:val="00002BBD"/>
    <w:rsid w:val="00006A84"/>
    <w:rsid w:val="00011F6C"/>
    <w:rsid w:val="00012407"/>
    <w:rsid w:val="00014A7D"/>
    <w:rsid w:val="000227C5"/>
    <w:rsid w:val="00025B44"/>
    <w:rsid w:val="00030083"/>
    <w:rsid w:val="000312B1"/>
    <w:rsid w:val="00031ACE"/>
    <w:rsid w:val="00041FC5"/>
    <w:rsid w:val="00050072"/>
    <w:rsid w:val="00051675"/>
    <w:rsid w:val="00054690"/>
    <w:rsid w:val="00056BF7"/>
    <w:rsid w:val="000574E6"/>
    <w:rsid w:val="00057ACA"/>
    <w:rsid w:val="00060367"/>
    <w:rsid w:val="00076CE9"/>
    <w:rsid w:val="00077C17"/>
    <w:rsid w:val="00097EE9"/>
    <w:rsid w:val="000A0B90"/>
    <w:rsid w:val="000A2A70"/>
    <w:rsid w:val="000B1DDC"/>
    <w:rsid w:val="000B6BA6"/>
    <w:rsid w:val="000D1EA4"/>
    <w:rsid w:val="000D7992"/>
    <w:rsid w:val="000E1902"/>
    <w:rsid w:val="000E3F81"/>
    <w:rsid w:val="000E54BC"/>
    <w:rsid w:val="000E56F0"/>
    <w:rsid w:val="000F3A39"/>
    <w:rsid w:val="000F3D3F"/>
    <w:rsid w:val="00106286"/>
    <w:rsid w:val="0011004D"/>
    <w:rsid w:val="00120744"/>
    <w:rsid w:val="00123CF4"/>
    <w:rsid w:val="00126999"/>
    <w:rsid w:val="001335F6"/>
    <w:rsid w:val="001346AC"/>
    <w:rsid w:val="00140358"/>
    <w:rsid w:val="001420B8"/>
    <w:rsid w:val="00146834"/>
    <w:rsid w:val="00162C86"/>
    <w:rsid w:val="00167B4F"/>
    <w:rsid w:val="0017272C"/>
    <w:rsid w:val="00172F57"/>
    <w:rsid w:val="00183A2F"/>
    <w:rsid w:val="00196B39"/>
    <w:rsid w:val="001A176F"/>
    <w:rsid w:val="001C7E50"/>
    <w:rsid w:val="001D5AC5"/>
    <w:rsid w:val="001E04CA"/>
    <w:rsid w:val="001E60EC"/>
    <w:rsid w:val="001F10B0"/>
    <w:rsid w:val="001F61BE"/>
    <w:rsid w:val="00200FE6"/>
    <w:rsid w:val="00204543"/>
    <w:rsid w:val="002062D0"/>
    <w:rsid w:val="002105B9"/>
    <w:rsid w:val="00211E4B"/>
    <w:rsid w:val="00213A19"/>
    <w:rsid w:val="00216927"/>
    <w:rsid w:val="00216EB1"/>
    <w:rsid w:val="00223271"/>
    <w:rsid w:val="00226019"/>
    <w:rsid w:val="0022756B"/>
    <w:rsid w:val="00232313"/>
    <w:rsid w:val="002361FF"/>
    <w:rsid w:val="00237CC0"/>
    <w:rsid w:val="00242F71"/>
    <w:rsid w:val="002455BD"/>
    <w:rsid w:val="002533EE"/>
    <w:rsid w:val="002551E9"/>
    <w:rsid w:val="002565FE"/>
    <w:rsid w:val="002570C1"/>
    <w:rsid w:val="00260264"/>
    <w:rsid w:val="00261942"/>
    <w:rsid w:val="0026247C"/>
    <w:rsid w:val="00262B8C"/>
    <w:rsid w:val="00265219"/>
    <w:rsid w:val="00274AAB"/>
    <w:rsid w:val="00274EBB"/>
    <w:rsid w:val="00287128"/>
    <w:rsid w:val="0028732E"/>
    <w:rsid w:val="00296F67"/>
    <w:rsid w:val="002A05B2"/>
    <w:rsid w:val="002A18A8"/>
    <w:rsid w:val="002A465F"/>
    <w:rsid w:val="002B134A"/>
    <w:rsid w:val="002B2246"/>
    <w:rsid w:val="002B4D53"/>
    <w:rsid w:val="002B65B3"/>
    <w:rsid w:val="002B7454"/>
    <w:rsid w:val="002C0296"/>
    <w:rsid w:val="002C0347"/>
    <w:rsid w:val="002C2AC5"/>
    <w:rsid w:val="002C4A02"/>
    <w:rsid w:val="002C4D66"/>
    <w:rsid w:val="002D1DD7"/>
    <w:rsid w:val="002D5AF0"/>
    <w:rsid w:val="002D7BD0"/>
    <w:rsid w:val="002E1660"/>
    <w:rsid w:val="002E3C87"/>
    <w:rsid w:val="002E42A2"/>
    <w:rsid w:val="002E712A"/>
    <w:rsid w:val="002F3F84"/>
    <w:rsid w:val="00304EA4"/>
    <w:rsid w:val="0030584B"/>
    <w:rsid w:val="00306CB6"/>
    <w:rsid w:val="003152CF"/>
    <w:rsid w:val="00323C81"/>
    <w:rsid w:val="00325CF4"/>
    <w:rsid w:val="00326251"/>
    <w:rsid w:val="00331BBE"/>
    <w:rsid w:val="00333D73"/>
    <w:rsid w:val="00340733"/>
    <w:rsid w:val="00351C81"/>
    <w:rsid w:val="00352D15"/>
    <w:rsid w:val="00356F87"/>
    <w:rsid w:val="00364BEC"/>
    <w:rsid w:val="0036705D"/>
    <w:rsid w:val="00375817"/>
    <w:rsid w:val="00375E11"/>
    <w:rsid w:val="00375FD7"/>
    <w:rsid w:val="00376C5A"/>
    <w:rsid w:val="00384F18"/>
    <w:rsid w:val="00386B43"/>
    <w:rsid w:val="00397ECF"/>
    <w:rsid w:val="003A52FA"/>
    <w:rsid w:val="003A5FD4"/>
    <w:rsid w:val="003A6738"/>
    <w:rsid w:val="003A716B"/>
    <w:rsid w:val="003B361B"/>
    <w:rsid w:val="003B677A"/>
    <w:rsid w:val="003C6E5D"/>
    <w:rsid w:val="003D11D1"/>
    <w:rsid w:val="003D4758"/>
    <w:rsid w:val="003D7E88"/>
    <w:rsid w:val="003E2763"/>
    <w:rsid w:val="003E5BE1"/>
    <w:rsid w:val="003F0C66"/>
    <w:rsid w:val="004020E0"/>
    <w:rsid w:val="00404BB4"/>
    <w:rsid w:val="00411ACE"/>
    <w:rsid w:val="00414838"/>
    <w:rsid w:val="00416941"/>
    <w:rsid w:val="0041707B"/>
    <w:rsid w:val="004202EC"/>
    <w:rsid w:val="0043064D"/>
    <w:rsid w:val="004322DF"/>
    <w:rsid w:val="00435104"/>
    <w:rsid w:val="0045232E"/>
    <w:rsid w:val="00454843"/>
    <w:rsid w:val="00455F0E"/>
    <w:rsid w:val="00467E94"/>
    <w:rsid w:val="004750AD"/>
    <w:rsid w:val="004957E7"/>
    <w:rsid w:val="00496CFD"/>
    <w:rsid w:val="004A27A0"/>
    <w:rsid w:val="004A3248"/>
    <w:rsid w:val="004B06AA"/>
    <w:rsid w:val="004B2299"/>
    <w:rsid w:val="004B3012"/>
    <w:rsid w:val="004B6EC9"/>
    <w:rsid w:val="004E0EAA"/>
    <w:rsid w:val="004E4926"/>
    <w:rsid w:val="004F1AA2"/>
    <w:rsid w:val="004F2414"/>
    <w:rsid w:val="004F615A"/>
    <w:rsid w:val="00515C54"/>
    <w:rsid w:val="0052338C"/>
    <w:rsid w:val="005242FA"/>
    <w:rsid w:val="00530026"/>
    <w:rsid w:val="0053086D"/>
    <w:rsid w:val="005324F3"/>
    <w:rsid w:val="005331E7"/>
    <w:rsid w:val="005364C2"/>
    <w:rsid w:val="005401C4"/>
    <w:rsid w:val="0055552D"/>
    <w:rsid w:val="00555962"/>
    <w:rsid w:val="005579C8"/>
    <w:rsid w:val="00567BDF"/>
    <w:rsid w:val="00580051"/>
    <w:rsid w:val="00580EDF"/>
    <w:rsid w:val="005913E4"/>
    <w:rsid w:val="00596842"/>
    <w:rsid w:val="005A0614"/>
    <w:rsid w:val="005A1ABD"/>
    <w:rsid w:val="005B4DA0"/>
    <w:rsid w:val="005B7BD1"/>
    <w:rsid w:val="005C1FF7"/>
    <w:rsid w:val="005D245B"/>
    <w:rsid w:val="005D53AE"/>
    <w:rsid w:val="005D586A"/>
    <w:rsid w:val="005E2635"/>
    <w:rsid w:val="005F37F6"/>
    <w:rsid w:val="005F4A23"/>
    <w:rsid w:val="005F5598"/>
    <w:rsid w:val="0060191E"/>
    <w:rsid w:val="00601A6C"/>
    <w:rsid w:val="006039BD"/>
    <w:rsid w:val="00605489"/>
    <w:rsid w:val="006078C9"/>
    <w:rsid w:val="00614B95"/>
    <w:rsid w:val="006203B0"/>
    <w:rsid w:val="00621670"/>
    <w:rsid w:val="00622347"/>
    <w:rsid w:val="00625801"/>
    <w:rsid w:val="00626493"/>
    <w:rsid w:val="006333D4"/>
    <w:rsid w:val="00641171"/>
    <w:rsid w:val="006417A7"/>
    <w:rsid w:val="0064539E"/>
    <w:rsid w:val="00645ED8"/>
    <w:rsid w:val="0065234B"/>
    <w:rsid w:val="006557B0"/>
    <w:rsid w:val="00670567"/>
    <w:rsid w:val="00670FCF"/>
    <w:rsid w:val="006825D7"/>
    <w:rsid w:val="00687F51"/>
    <w:rsid w:val="00694AE3"/>
    <w:rsid w:val="00694C25"/>
    <w:rsid w:val="006970C8"/>
    <w:rsid w:val="00697843"/>
    <w:rsid w:val="006A0016"/>
    <w:rsid w:val="006B1839"/>
    <w:rsid w:val="006B667A"/>
    <w:rsid w:val="006C2AB6"/>
    <w:rsid w:val="006C3B98"/>
    <w:rsid w:val="006C6CF8"/>
    <w:rsid w:val="006D7FC8"/>
    <w:rsid w:val="006E1DD7"/>
    <w:rsid w:val="006F7D4F"/>
    <w:rsid w:val="00703F3D"/>
    <w:rsid w:val="00712B0C"/>
    <w:rsid w:val="00713F15"/>
    <w:rsid w:val="0073019E"/>
    <w:rsid w:val="0073120F"/>
    <w:rsid w:val="0073583B"/>
    <w:rsid w:val="00740CB2"/>
    <w:rsid w:val="00743CAA"/>
    <w:rsid w:val="00755163"/>
    <w:rsid w:val="00767D31"/>
    <w:rsid w:val="00773E6B"/>
    <w:rsid w:val="0077402E"/>
    <w:rsid w:val="007851ED"/>
    <w:rsid w:val="00786480"/>
    <w:rsid w:val="007943BB"/>
    <w:rsid w:val="0079444F"/>
    <w:rsid w:val="007C6A0F"/>
    <w:rsid w:val="007D0A4F"/>
    <w:rsid w:val="007D20F8"/>
    <w:rsid w:val="007D43E6"/>
    <w:rsid w:val="007D532C"/>
    <w:rsid w:val="007D6612"/>
    <w:rsid w:val="007E1468"/>
    <w:rsid w:val="007E3183"/>
    <w:rsid w:val="007E5A41"/>
    <w:rsid w:val="007F4EDC"/>
    <w:rsid w:val="008062E3"/>
    <w:rsid w:val="008120DA"/>
    <w:rsid w:val="008156E4"/>
    <w:rsid w:val="00815CB2"/>
    <w:rsid w:val="00816C1D"/>
    <w:rsid w:val="00825444"/>
    <w:rsid w:val="00835408"/>
    <w:rsid w:val="008357CF"/>
    <w:rsid w:val="008401E0"/>
    <w:rsid w:val="008515D8"/>
    <w:rsid w:val="0085217D"/>
    <w:rsid w:val="0086069A"/>
    <w:rsid w:val="00866ADA"/>
    <w:rsid w:val="00874449"/>
    <w:rsid w:val="00880DE6"/>
    <w:rsid w:val="00884657"/>
    <w:rsid w:val="00891A95"/>
    <w:rsid w:val="0089344E"/>
    <w:rsid w:val="0089528E"/>
    <w:rsid w:val="008A2157"/>
    <w:rsid w:val="008A5583"/>
    <w:rsid w:val="008A558C"/>
    <w:rsid w:val="008B183D"/>
    <w:rsid w:val="008B2A7A"/>
    <w:rsid w:val="008B4FC6"/>
    <w:rsid w:val="008C3590"/>
    <w:rsid w:val="008C3CF7"/>
    <w:rsid w:val="008C7679"/>
    <w:rsid w:val="008D0038"/>
    <w:rsid w:val="008D3A78"/>
    <w:rsid w:val="008D43BD"/>
    <w:rsid w:val="008E3966"/>
    <w:rsid w:val="008E5C50"/>
    <w:rsid w:val="008E636A"/>
    <w:rsid w:val="008F3781"/>
    <w:rsid w:val="009021BF"/>
    <w:rsid w:val="00910361"/>
    <w:rsid w:val="00914C19"/>
    <w:rsid w:val="00924F05"/>
    <w:rsid w:val="009351A8"/>
    <w:rsid w:val="00940FE3"/>
    <w:rsid w:val="009428ED"/>
    <w:rsid w:val="00955068"/>
    <w:rsid w:val="00963325"/>
    <w:rsid w:val="00964CC8"/>
    <w:rsid w:val="00981774"/>
    <w:rsid w:val="009844EC"/>
    <w:rsid w:val="00984B89"/>
    <w:rsid w:val="00990EF3"/>
    <w:rsid w:val="0099549C"/>
    <w:rsid w:val="009A3C93"/>
    <w:rsid w:val="009B521E"/>
    <w:rsid w:val="009B67BE"/>
    <w:rsid w:val="009C06A4"/>
    <w:rsid w:val="009C356D"/>
    <w:rsid w:val="009D0F91"/>
    <w:rsid w:val="009D7B0D"/>
    <w:rsid w:val="009E4BE4"/>
    <w:rsid w:val="009E7D53"/>
    <w:rsid w:val="009F678D"/>
    <w:rsid w:val="009F724A"/>
    <w:rsid w:val="00A00879"/>
    <w:rsid w:val="00A06A78"/>
    <w:rsid w:val="00A07007"/>
    <w:rsid w:val="00A118E3"/>
    <w:rsid w:val="00A133EF"/>
    <w:rsid w:val="00A14348"/>
    <w:rsid w:val="00A21C53"/>
    <w:rsid w:val="00A32855"/>
    <w:rsid w:val="00A441BB"/>
    <w:rsid w:val="00A50281"/>
    <w:rsid w:val="00A50534"/>
    <w:rsid w:val="00A51A7C"/>
    <w:rsid w:val="00A52C36"/>
    <w:rsid w:val="00A52CF3"/>
    <w:rsid w:val="00A65913"/>
    <w:rsid w:val="00A77640"/>
    <w:rsid w:val="00A83B1E"/>
    <w:rsid w:val="00A85472"/>
    <w:rsid w:val="00A86526"/>
    <w:rsid w:val="00A879E6"/>
    <w:rsid w:val="00A87A50"/>
    <w:rsid w:val="00A93908"/>
    <w:rsid w:val="00AA02DB"/>
    <w:rsid w:val="00AD3674"/>
    <w:rsid w:val="00AD47C7"/>
    <w:rsid w:val="00AE2285"/>
    <w:rsid w:val="00AE43D2"/>
    <w:rsid w:val="00AF18BE"/>
    <w:rsid w:val="00AF19CB"/>
    <w:rsid w:val="00AF367D"/>
    <w:rsid w:val="00AF4466"/>
    <w:rsid w:val="00AF54D9"/>
    <w:rsid w:val="00AF79D6"/>
    <w:rsid w:val="00B208B1"/>
    <w:rsid w:val="00B24340"/>
    <w:rsid w:val="00B32E0D"/>
    <w:rsid w:val="00B42718"/>
    <w:rsid w:val="00B44D8C"/>
    <w:rsid w:val="00B44E74"/>
    <w:rsid w:val="00B4504A"/>
    <w:rsid w:val="00B4596B"/>
    <w:rsid w:val="00B51A15"/>
    <w:rsid w:val="00B54058"/>
    <w:rsid w:val="00B54729"/>
    <w:rsid w:val="00B669A0"/>
    <w:rsid w:val="00B84AC7"/>
    <w:rsid w:val="00B8523C"/>
    <w:rsid w:val="00B8770A"/>
    <w:rsid w:val="00B975CE"/>
    <w:rsid w:val="00BC025C"/>
    <w:rsid w:val="00BD1312"/>
    <w:rsid w:val="00BD463A"/>
    <w:rsid w:val="00BD731E"/>
    <w:rsid w:val="00BE031F"/>
    <w:rsid w:val="00BE4FC6"/>
    <w:rsid w:val="00C00204"/>
    <w:rsid w:val="00C066BA"/>
    <w:rsid w:val="00C21A6E"/>
    <w:rsid w:val="00C23BF8"/>
    <w:rsid w:val="00C24E31"/>
    <w:rsid w:val="00C31425"/>
    <w:rsid w:val="00C40C01"/>
    <w:rsid w:val="00C40C4B"/>
    <w:rsid w:val="00C41B47"/>
    <w:rsid w:val="00C42BD6"/>
    <w:rsid w:val="00C45502"/>
    <w:rsid w:val="00C64AA7"/>
    <w:rsid w:val="00C749E6"/>
    <w:rsid w:val="00C81065"/>
    <w:rsid w:val="00C840AC"/>
    <w:rsid w:val="00C94F21"/>
    <w:rsid w:val="00C97B71"/>
    <w:rsid w:val="00CA020B"/>
    <w:rsid w:val="00CA26F7"/>
    <w:rsid w:val="00CA4064"/>
    <w:rsid w:val="00CA4193"/>
    <w:rsid w:val="00CB0143"/>
    <w:rsid w:val="00CB60B3"/>
    <w:rsid w:val="00CB69A6"/>
    <w:rsid w:val="00CD3D26"/>
    <w:rsid w:val="00CD66DF"/>
    <w:rsid w:val="00CE0D5F"/>
    <w:rsid w:val="00CE1A37"/>
    <w:rsid w:val="00CE613E"/>
    <w:rsid w:val="00CE6BEB"/>
    <w:rsid w:val="00CF012B"/>
    <w:rsid w:val="00CF03A5"/>
    <w:rsid w:val="00CF0435"/>
    <w:rsid w:val="00CF44DE"/>
    <w:rsid w:val="00D0602B"/>
    <w:rsid w:val="00D135AD"/>
    <w:rsid w:val="00D374B4"/>
    <w:rsid w:val="00D401F5"/>
    <w:rsid w:val="00D50898"/>
    <w:rsid w:val="00D55C66"/>
    <w:rsid w:val="00D55E1A"/>
    <w:rsid w:val="00D665B0"/>
    <w:rsid w:val="00D66E5D"/>
    <w:rsid w:val="00D67010"/>
    <w:rsid w:val="00D67270"/>
    <w:rsid w:val="00D76109"/>
    <w:rsid w:val="00D76EAE"/>
    <w:rsid w:val="00D804DD"/>
    <w:rsid w:val="00D867AE"/>
    <w:rsid w:val="00D871CA"/>
    <w:rsid w:val="00D9657B"/>
    <w:rsid w:val="00DB4426"/>
    <w:rsid w:val="00DC062D"/>
    <w:rsid w:val="00DE3864"/>
    <w:rsid w:val="00DE6F8F"/>
    <w:rsid w:val="00DF1813"/>
    <w:rsid w:val="00DF59E8"/>
    <w:rsid w:val="00DF79C8"/>
    <w:rsid w:val="00E01671"/>
    <w:rsid w:val="00E06721"/>
    <w:rsid w:val="00E134BD"/>
    <w:rsid w:val="00E206CA"/>
    <w:rsid w:val="00E419CE"/>
    <w:rsid w:val="00E43D9C"/>
    <w:rsid w:val="00E50A31"/>
    <w:rsid w:val="00E611DF"/>
    <w:rsid w:val="00E61AED"/>
    <w:rsid w:val="00E673BF"/>
    <w:rsid w:val="00E75ADA"/>
    <w:rsid w:val="00E768E0"/>
    <w:rsid w:val="00E80424"/>
    <w:rsid w:val="00E81188"/>
    <w:rsid w:val="00E85297"/>
    <w:rsid w:val="00EA1211"/>
    <w:rsid w:val="00EA1BF5"/>
    <w:rsid w:val="00EA61B7"/>
    <w:rsid w:val="00EB6CCA"/>
    <w:rsid w:val="00EC0E67"/>
    <w:rsid w:val="00EC6DB2"/>
    <w:rsid w:val="00EE253F"/>
    <w:rsid w:val="00EE4987"/>
    <w:rsid w:val="00EE5C18"/>
    <w:rsid w:val="00EF1A61"/>
    <w:rsid w:val="00EF7077"/>
    <w:rsid w:val="00F03F33"/>
    <w:rsid w:val="00F11BA8"/>
    <w:rsid w:val="00F22560"/>
    <w:rsid w:val="00F22E2A"/>
    <w:rsid w:val="00F25881"/>
    <w:rsid w:val="00F27E5D"/>
    <w:rsid w:val="00F469B2"/>
    <w:rsid w:val="00F56E73"/>
    <w:rsid w:val="00F70070"/>
    <w:rsid w:val="00F9176B"/>
    <w:rsid w:val="00F9340A"/>
    <w:rsid w:val="00F95123"/>
    <w:rsid w:val="00FA1E59"/>
    <w:rsid w:val="00FA381A"/>
    <w:rsid w:val="00FA3909"/>
    <w:rsid w:val="00FA76A7"/>
    <w:rsid w:val="00FC399B"/>
    <w:rsid w:val="00FE5E87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1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1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1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18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5097</Words>
  <Characters>29053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2015-07-10T07:29:00Z</dcterms:created>
  <dcterms:modified xsi:type="dcterms:W3CDTF">2015-07-10T07:31:00Z</dcterms:modified>
</cp:coreProperties>
</file>