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bookmarkStart w:id="0" w:name="_GoBack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21-01-97</w:t>
      </w:r>
      <w:bookmarkEnd w:id="0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*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СТРОИТЕЛЬНЫЕ НОРМЫ И ПРАВИЛА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ПОЖАРНАЯ БЕЗОПАСНОСТЬ ЗДАНИЙ И СООРУЖЕНИЙ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FIRE SAFETY OF BUILDINGS AND WORKS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Дата введения  1998-01-01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1 РАЗРАБОТАНЫ Государственным Центральным научно-исследовательским и проектно-экспериментальным институтом комплексных проблем строительных конструкций и сооружений им.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В.А.Кучеренко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(ЦНИИСК им. Кучеренко), Центром противопожарных исследований и тепловой защиты в строительстве ЦНИИСК (АО «ЦПИТЗС ЦНИИСК»), Центральным научно-исследовательским и проектно-экспериментальным институтом промышленных зданий и сооружений (АО «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ЦНИИпромзданий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») и Всероссийским научно-исследовательским институтом противопожарной обороны (ВНИИПО) при участии территориальных органов Государственного пожарного надзора МВД России</w:t>
      </w:r>
      <w:proofErr w:type="gramEnd"/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2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ВНЕСЕНЫ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Управлением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технормирования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Минстроя России.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3 ПРИНЯТЫ И ВВЕДЕНЫ В ДЕЙСТВИЕ с 1 января 1998 г. постановлением Минстроя России от 13.02.97 г. № 18-7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4 ВЗАМЕН СНиП 2.01.02-85*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5 Настоящие строительные нормы и правила представляют собой аутентичный текст Межгосударственных строительных норм МСН 2.02-01-97 «Пожарная безопасность зданий и сооружений»    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СНиП 21-01-97* внесено изменение  № 1, принятое постановлением Госстроя России от 3 июня 1999 г. № 41 и введенное в действие с 1 июля 1999 г.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ВВЕДЕНИЕ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Настоящие нормы и правила разработаны в соответствии с требованиями СНиП 10-01-94, рекомендациями международных организаций по стандартизации и нормированию и являются основополагающим документом комплекса 21 «Пожарная безопасность» Системы нормативных документов в строительстве.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Основными отличиями этого комплекса и настоящих норм и правил от СНиП 2.01.02-85* «Противопожарные нормы» и связанных с ними документов по обеспечению пожарной безопасности в строительстве являются: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приоритетность требований, направленных на обеспечение безопасности людей при пожаре, по сравнению с другими противопожарными требованиями;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применимость противопожарных требований к объектам защиты на стадиях проектирования, строительства и эксплуатации, включая реконструкцию, ремонт и изменение функционального назначения;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изложение главных требований к противопожарной защите зданий и сооружений в форме целей этой защиты;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максимально возможное сокращение описательных требований к средствам и способам обеспечения пожарной безопасности;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сооружений, реакции находящихся в них людей, а также конструкций и материалов, из которых они построены, на возникновение и развитие пожара и для расширения вариантности и повышения адекватности выбора средств и способов противопожарной защиты угрозе пожара.</w:t>
      </w:r>
      <w:proofErr w:type="gramEnd"/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настоящих нормах приведены противопожарные требования, подлежащие обязательному соблюдению; в тех случаях, когда предполагается возможность отступления от какого-либо требования, оно излагается с оговоркой «как правило» и с условиями, при которых допускаются отступления.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Опробованные на практике средства и способы обеспечения противопожарных требований, приведенные в настоящих нормах, излагаются в разрабатываемых в настоящее время сводах правил, в первую очередь в СП 21-101 «Обеспечение безопасности людей» и в СП 21-102 «Предотвращение распространения пожара».</w:t>
      </w:r>
      <w:proofErr w:type="gramEnd"/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Обновление системы нормативных документов в строительстве происходит не одновременно. Многие из действующих СНиП и других нормативных документов содержат противопожарные требования и правила, основанные на положениях СНиП 2.01.02-85. Поэтому при введении в действие настоящих норм установлено, что те положения СНиП 2.01.02-85, на которых основаны требования строительных норм и правил на конкретные виды строительной продукции - здания, сооружения, инженерные системы, конструкции и материалы, продолжают действовать до пересмотра указанных строительных норм и правил.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переходный период в технической документации на эти виды строительной продукции могут быть одновременно приведены пожарно-технические характеристики, регламентируемые как СНиП 2.01.02-85, так и настоящими нормами.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Не исключается возможность использования документов комплекса 21 и настоящих норм для тех видов продукции, нормы на которые были введены в действие ранее. При этом необходимо учитывать, что как система противопожарной защиты зданий и сооружений, основанная на положениях настоящих норм, так и система, основанная на положениях СНиП 2.01.02-85, должна применяться комплексно для объекта в целом, а не для отдельных его частей или отдельных средств и способов защиты.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Необходимо также отметить, что введение новых стандартов на методы определения пожарно-технических показателей строительной продукции в большинстве случаев позволяет компетентным (аккредитованным в Системе сертификации ГОСТ Р) организациям устанавливать эти показатели в соответствии с классификацией, принятой в СНиП 2.01.02-85.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Настоящие нормы разработаны ЦНИИСК им. Кучеренко (ответственный исполнитель, руководитель темы канд.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техн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наук В.Н.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Зигерн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-Корн), ВНИИПО (ответственный исполнитель д-р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ехн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наук И.С.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Молчадский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),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ЦНИИпромзданий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(ответственный исполнитель канд.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техн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наук Т.Е. Стороженко), ЦПИТЗС ЦНИИСК (ответственный исполнитель канд.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техн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. наук М.Я. Ройтман) под руководством Управления стандартизации, технического нормирования и сертификации Минстроя России (Г.М.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Хорин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Н.Н. Поляков) и Главного управления государственной противопожарной службы МВД России (Е.Е.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Кирюханцев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Ю.М.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Кондрашин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В.Е.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Татаров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).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1 ОБЛАСТЬ ПРИМЕНЕНИЯ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1.1 Настоящие нормы и правила устанавливают общие требования противопожарной защиты помещений, зданий и других строительных сооружений (далее - зданий) на всех этапах их создания и эксплуатации, а также пожарно-техническую классификацию зданий, их элементов и частей, помещений, строительных конструкций и материалов.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1.2 Разделы 6, 7 и 8 не распространяются на здания специального назначения (для производства и хранения взрывчатых веществ и сре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дств взр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ывания, военного назначения, подземные сооружения метрополитенов, горных выработок).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1.3 Нормативная и техническая документация на здания, строительные конструкции, изделия и материалы должна содержать их пожарно-технические характеристики, регламентируемые настоящими нормами.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1.4 Противопожарные нормы и требования системы нормативных документов в строительстве должны основываться на требованиях настоящих норм.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Наряду с настоящими нормами должны соблюдаться противопожарные требования, изложенные в других нормативных документах, утвержденных в установленном порядке.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1.5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* Д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ля зданий, на которые отсутствуют противопожарные нормы, а также для зданий класса функциональной пожарной опасности Ф1.3 высотой более 75 м*, зданий других классов функциональной пожарной опасности высотой более 50 м и зданий с числом подземных этажей более одного, а также для особо сложных и уникальных зданий, кроме соблюдения требований настоящих норм, должны быть разработаны технические условия, отражающие специфику их противопожарной защиты, включая комплекс дополнительных инженерно-технических и организационных мероприятий. Указанные технические условия должны быть согласованы с органом управления Государственной противопожарной службы МВД России и с Госстроем России и утверждены заказчиком.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_____________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* Здесь и далее, кроме специально оговоренных случаев, высота здания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машин и нижней границы открывающегося проема (окна) в наружной стене.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1.6 Разрешение на отступления от требований настоящих норм по конкретным объектам в обоснованных случаях производится Госстроем России при наличии мероприятий, компенсирующих эти отступления, согласованных органом управления Государственной противопожарной службы МВД России.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1.7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* П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ри изменении функционального назначения существующих зданий или отдельных помещений в них, а также при изменении объемно-планировочных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помещений.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Необходимость приведения существующих зданий в соответствие с настоящими нормами определяется 8.5 СНиП 10-01-94.</w:t>
      </w:r>
    </w:p>
    <w:p w:rsidR="00591C3D" w:rsidRPr="00591C3D" w:rsidRDefault="00591C3D" w:rsidP="00591C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2*  НОРМАТИВНЫЕ ССЫЛКИ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настоящих нормах использованы ссылки на следующие нормативные документы: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10-01-94 Система нормативных документов в строительстве. Общие положения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2.01.02-85* Противопожарные нормы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2.04.05-91* Отопление, вентиляция и кондиционирование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23-05-95 Естественное и искусственное освещение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2.07.01-89* Градостроительство. Планировка и застройка городских и сельских поселений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II-89-80* Генеральные планы промышленных предприятий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СНиП II-97-76 Генеральные планы сельскохозяйственных предприятий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12.1.033-81 ССБТ. Пожарная безопасность. Термины и определения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ГОСТ 12.1.044-89 ССБТ. </w:t>
      </w:r>
      <w:proofErr w:type="spell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Пожаровзрывоопасность</w:t>
      </w:r>
      <w:proofErr w:type="spell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веществ и материалов. Номенклатура показателей и методы их определения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25772-83 Ограждения лестниц, балконов и крыш стальные. Общие технические условия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30244-94 Материалы строительные. Методы испытаний на горючесть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30247.0-94 Конструкции строительные. Методы испытаний на огнестойкость. Общие требования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30247.1-94 Конструкции строительные. Методы испытаний на огнестойкость. Несущие и ограждающие конструкции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30247.2-97 Конструкции строительные. Методы испытаний на огнестойкость. Двери и ворота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ГОСТ 30247.3-99 Конструкции строительные. Методы испытаний на огнестойкость.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Клапаны противопожарные вентиляционных систем (НПБ 241-97.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Клапаны противопожарные вентиляционных систем.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Метод испытания на огнестойкость)</w:t>
      </w:r>
      <w:proofErr w:type="gramEnd"/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ГОСТ 30247.4-99 Конструкции строительные. Методы испытаний на огнестойкость.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Воздуховоды (НПБ 239-97.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Воздуховоды.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Метод испытания на огнестойкость)</w:t>
      </w:r>
      <w:proofErr w:type="gramEnd"/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30402-96 Материалы строительные. Метод испытания на воспламеняемость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ГОСТ 30403-96 Конструкции строительные. Метод определения пожарной опасности</w:t>
      </w:r>
    </w:p>
    <w:p w:rsidR="00591C3D" w:rsidRPr="00591C3D" w:rsidRDefault="00591C3D" w:rsidP="00591C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ГОСТ 30444-97 (ГОСТ </w:t>
      </w:r>
      <w:proofErr w:type="gramStart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</w:t>
      </w:r>
      <w:proofErr w:type="gramEnd"/>
      <w:r w:rsidRPr="00591C3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51032-97) Материалы строительные. Метод испытания на распространение пламени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СЭВ 383-87 Пожарная безопасность в строительстве. Термины и определения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ППБ 01-93 Правила пожарной безопасности в Российской Федерации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101-95 Нормы проектирования объектов пожарной охраны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104-95 Проектирование систем оповещения людей о пожаре в зданиях и сооружениях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105-95 Определение категорий помещений и зданий по взрывопожарной и пожарной опасности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110-96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    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233-96 Здания и фрагменты зданий. Методы натурных огневых испытаний. Общие требования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НПБ 250-97 Лифты для транспортирования пожарных подразделений в зданиях и сооружениях. Общие технические требования.   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3 ТЕРМИНЫ И ОПРЕДЕЛЕНИЯ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настоящих нормах, за исключением специально оговоренных случаев, приняты термины и определения, приведенные в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СЭВ 383 и ГОСТ 12.1.033-81.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4 ОСНОВНЫЕ ПОЛОЖЕНИЯ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должны быть предусмотрены конструктивные, объемно-планировочные и инженерно-технические решения, обеспечивающие в случае пожара: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эвакуации людей независимо от их возраста и физического состояния наружу на прилегающую к зданию территорию (далее - наружу) до наступления угрозы их жизни и здоровью вследствие воздействия опасных факторов пожара;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спасения людей;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доступа личного состава пожарных подразделений и подачи средств пожаротушения к очагу пожара, а также проведения мероприятий по спасению людей и материальных ценностей;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нераспространение пожара на рядом расположенные здания, в том числе при обрушении горящего здания;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ограничение прямого и косвенного материального ущерба, включая содержимое здания и само здание, при экономически обоснованном соотношении величины ущерба и расходов на противопожарные мероприятия, пожарную охрану и ее техническое оснащение.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процессе строительства необходимо обеспечить: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приоритетное выполнение противопожарных мероприятий, предусмотренных проектом, разработанным в соответствии с действующими нормами и утвержденным в установленном порядке;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соблюдение противопожарных правил, предусмотренных ППБ 01, и охрану от пожара строящегося и вспомогательных объектов,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пожаробезопасное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строительных и монтажных работ;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и исправное содержание средств борьбы с пожаром;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безопасной эвакуации и спасения людей, а также защиты материальных ценностей при пожаре в строящемся объекте и на строительной площадке.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процессе эксплуатации следует: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выполнение правил пожарной безопасности, утвержденных в установленном порядке, в том числе ППБ 01;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допускать изменений конструктивных, объемно-планировочных и инженерно-технических решений без проекта, разработанного в соответствии с действующими нормами и утвержденного в установленном порядке;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ремонтных работ не допускать применения конструкций и материалов, не отвечающих требованиям действующих норм.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разрешение на строительство здания получено при условии, что число людей в здании или в любой его части или пожарная нагрузка ограничены, внутри здания в заметных местах должны быть расположены извещения об этих ограничениях, а администрация здания должна разработать специальные организационные мероприятия по предотвращению пожара и эвакуации людей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 Мероприятия по противопожарной защите зданий предусматриваются с учетом технического оснащения пожарных подразделений и их расположения.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анализе пожарной опасности зданий могут быть использованы расчетные сценарии, основанные на соотношении временных параметров развития и распространения опасных факторов пожара, эвакуации людей и борьбы с пожаром.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5 ПОЖАРНО-ТЕХНИЧЕСКАЯ КЛАССИФИКАЦИЯ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 Пожарно-техническая классификация строительных материалов, конструкций, помещений, зданий, элементов и частей зданий основывается на их разделении по свойствам, способствующим возникновению опасных факторов пожара и его развитию, - пожарной опасности, и по свойствам сопротивляемости воздействию пожара и распространению его опасных факторов - огнестойкости.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 Пожарно-техническая классификация предназначается для установления необходимых требований по противопожарной защите конструкций, помещений, зданий, элементов и частей зданий в зависимости от их огнестойкости и (или) пожарной опасности.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СТРОИТЕЛЬНЫЕ МАТЕРИАЛЫ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 Строительные материалы характеризуются только пожарной опасностью.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опасность строительных материалов определяется следующими пожарно-техническими характеристиками: горючестью, воспламеняемостью, распространением пламени по поверхности, дымообразующей способностью и токсичностью.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 Строительные материалы подразделяются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негорючие (НГ) и горючие (Г). Горючие строительные материалы подразделяются на четыре группы: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слабогорючие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умеренногорючие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Г3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нормальногорючие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сильногорючие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Горючесть и группы строительных материалов по горючести устанавливают по ГОСТ 30244-94.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негорючих строительных материалов другие показатели пожарной опасности не определяются и не нормируются.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 Горючие строительные материалы по воспламеняемости подразделяются на три группы: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(трудновоспламеняемые);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умеренновоспламеняемые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В3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легковоспламеняемые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строительных материалов по воспламеняемости устанавливают по ГОСТ 30402-96.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 Горючие строительные материалы по распространению пламени по поверхности подразделяются на четыре группы: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нераспространяющие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 2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слабораспространяющие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РП3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умереннораспространяющие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сильнораспространяющие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строительных материалов по распространению пламени устанавливают для поверхностных слоев кровли и полов, в том числе ковровых покрытий, по ГОСТ 30444-97 (ГОСТ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51032-97).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других строительных материалов группа распространения пламени по поверхности не определяется и не нормируется.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 Горючие строительные материалы по дымообразующей способности подразделяются на три группы: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малой дымообразующей способностью);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умеренной дымообразующей способностью);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Д3 (с высокой дымообразующей способностью).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строительных материалов по дымообразующей способности устанавливают по 2.14.2 и 4.18 ГОСТ 12.1.044-89.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 Горючие строительные материалы по токсичности продуктов горения подразделяются на четыре группы: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(малоопасные);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умеренноопасные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Т3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высокоопасные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(чрезвычайно опасные).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строительных материалов по токсичности продуктов горения устанавливают по 2.16.2 и 4.20 ГОСТ 12.1.044-89.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СТРОИТЕЛЬНЫЕ КОНСТРУКЦИИ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 Строительные конструкции характеризуются огнестойкостью и пожарной опасностью.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Показателем огнестойкости является предел огнестойкости, пожарную опасность конструкции характеризует класс ее пожарной опасности.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5.10 Предел огнестойкости строительных конструкций устанавливается по времени (в минутах) наступления одного или последовательно нескольких, нормируемых для данной конструкции, признаков предельных состояний: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потери несущей способности (R);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потери целостности (Е);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потери теплоизолирующей способности (I).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Пределы огнестойкости строительных конструкций и их условные обозначения устанавливают по ГОСТ 30247. При этом предел огнестойкости окон устанавливается только по времени наступления потери целостности (Е).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пожарной опасности строительные конструкции подразделяются на четыре класса: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непожароопасные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малопожароопасные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умереннопожароопасные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К3 (пожароопасные).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пожарной опасности строительных конструкций устанавливают по ГОСТ 30403-96.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ПРОТИВОПОЖАРНЫЕ ПРЕГРАДЫ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противопожарным преградам относятся противопожарные стены, перегородки и перекрытия.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5.13 Противопожарные преграды характеризуются огнестойкостью и пожарной опасностью.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Огнестойкость противопожарной преграды определяется огнестойкостью ее элементов: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ограждающей части;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конструкций, обеспечивающих устойчивость преграды;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конструкций, на которые она опирается;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узлов крепления между ними.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Пределы огнестойкости конструкций, обеспечивающих устойчивость преграды, конструкций, на которые она опирается, и узлов крепления между ними по признаку R должны быть не менее требуемого предела огнестойкости ограждающей части противопожарной преграды.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опасность противопожарной преграды определяется пожарной опасностью ее ограждающей части с узлами крепления и конструкций, обеспечивающих устойчивость преграды.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5.14* Противопожарные преграды в зависимости от огнестойкости их ограждающей части подразделяются на типы согласно таблице 1, заполнения проемов в противопожарных преградах - таблице 2*,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тамбур-шлюзы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предусматриваемые в проемах противопожарных преград, - таблице 3.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Перегородки и перекрытия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тамбур-шлюзов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противопожарными.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Противопожарные преграды должны быть класса 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Допускается в специально оговоренных случаях применять противопожарные преграды 2-4-го типов класса 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25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091"/>
        <w:gridCol w:w="1652"/>
        <w:gridCol w:w="1140"/>
        <w:gridCol w:w="854"/>
      </w:tblGrid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Противопо-жарные</w:t>
            </w:r>
            <w:proofErr w:type="spellEnd"/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преграды</w:t>
            </w:r>
          </w:p>
        </w:tc>
        <w:tc>
          <w:tcPr>
            <w:tcW w:w="14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противопо-жарных</w:t>
            </w:r>
            <w:proofErr w:type="spellEnd"/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преград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Предел огнестойкости противопожарной преграды, не менее</w:t>
            </w:r>
          </w:p>
        </w:tc>
        <w:tc>
          <w:tcPr>
            <w:tcW w:w="11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Тип заполнения проемов, не ниже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тамбур-шлюза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не ниже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Стены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150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150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1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60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 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:rsidR="00591C3D" w:rsidRPr="00591C3D" w:rsidRDefault="00591C3D" w:rsidP="00591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2*</w:t>
      </w:r>
    </w:p>
    <w:tbl>
      <w:tblPr>
        <w:tblW w:w="25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671"/>
        <w:gridCol w:w="1435"/>
      </w:tblGrid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Заполнения проемов</w:t>
            </w:r>
          </w:p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противопожарных преградах</w:t>
            </w:r>
          </w:p>
        </w:tc>
        <w:tc>
          <w:tcPr>
            <w:tcW w:w="17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Тип заполнений проемов</w:t>
            </w:r>
          </w:p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противопожарных преградах</w:t>
            </w:r>
          </w:p>
        </w:tc>
        <w:tc>
          <w:tcPr>
            <w:tcW w:w="17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Предел огнестойкости,</w:t>
            </w:r>
          </w:p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не ниже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Двери, ворота, люки, клапаны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60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30*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15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 60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 З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 15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Занавесы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60</w:t>
            </w:r>
          </w:p>
        </w:tc>
      </w:tr>
    </w:tbl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Предел огнестойкости дверей шахт лифтов допускается принимать не менее Е 30.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25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85"/>
        <w:gridCol w:w="1262"/>
        <w:gridCol w:w="1269"/>
      </w:tblGrid>
      <w:tr w:rsidR="00591C3D" w:rsidRPr="00591C3D" w:rsidTr="00591C3D">
        <w:trPr>
          <w:tblCellSpacing w:w="37" w:type="dxa"/>
          <w:jc w:val="center"/>
        </w:trPr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тамбур-шлюза</w:t>
            </w:r>
            <w:proofErr w:type="gramEnd"/>
          </w:p>
        </w:tc>
        <w:tc>
          <w:tcPr>
            <w:tcW w:w="41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Типы элементов 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тамбур-шлюза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не ниже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2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Заполнения проемов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2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591C3D" w:rsidRPr="00591C3D" w:rsidTr="00591C3D">
        <w:trPr>
          <w:tblCellSpacing w:w="37" w:type="dxa"/>
          <w:jc w:val="center"/>
        </w:trPr>
        <w:tc>
          <w:tcPr>
            <w:tcW w:w="12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</w:tbl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ЛЕСТНИЦЫ И ЛЕСТНИЧНЫЕ КЛЕТКИ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5.15*  Лестницы и лестничные клетки, предназначенные для эвакуации, подразделяются на лестницы типов: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1 -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размещаемые в лестничных клетках;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2 - внутренние открытые;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3 - наружные открытые;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обычные лестничные клетки типов: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остекленными или открытыми проемами в наружных стенах на каждом этаже;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естественным освещением через остекленные или открытые проемы в покрытии;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незадымляемые лестничные клетки типов: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входом в лестничную клетку с этажа через наружную воздушную зону по открытым переходам, при этом должна быть обеспечена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незадымляемость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перехода через воздушную зону;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подпором воздуха в лестничную клетку при пожаре;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Н3 - с входом в лестничную клетку с этажа через тамбур-шлюз с подпором воздуха (постоянным или при пожаре).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обеспечения тушения пожара и спасательных работ предусматриваются пожарные лестницы типов: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вертикальные;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маршевые с уклоном не более 6:1.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ЗДАНИЯ, ПОЖАРНЫЕ ОТСЕКИ, ПОМЕЩЕНИЯ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5.17 Здания, а также части зданий, выделенные противопожарными стенами, - пожарные отсеки (далее - здания) - подразделяются по степеням огнестойкости, классам конструктивной и функциональной пожарной опасности. Для выделения пожарных отсеков применяются противопожарные стены 1-го типа.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огнестойкости здания определяется огнестойкостью его строительных конструкций.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функциональной пожарной опасности здания и его частей определяется их назначением и особенностями размещаемых в них технологических процессов.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5.18* Здания и пожарные отсеки подразделяются по степеням огнестойкости согласно таблице 4*.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несущим элементам здания относятся конструкции, обеспечивающие его общую устойчивость и геометрическую неизменяемость при пожаре, - несущие стены, рамы, колонны, ригели, арки, фермы и балки перекрытий, связи, диафрагмы жесткости и т.п. К пределу огнестойкости несущих элементов здания, выполняющих одновременно функции ограждающих конструкций, например, к несущим стенам, в нормативных документах должны предъявляться дополнительные требования по потере целостности (Е) и </w:t>
      </w: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теплоизолирующей способности (I) с учетом класса функциональной пожарной опасности зданий и помещений.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Пределы огнестойкости заполнения проемов (дверей, ворот, окон и люков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фонарей, в том числе зенитных, и других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светопрозрачных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участков настилов покрытий) не нормируются, за исключением специально оговоренных случаев и заполнения проемов в противопожарных преградах.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когда минимальный требуемый предел огнестойкости конструкции указан R 15 (RЕ 15, R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15), допускается применять незащищенные стальные конструкции независимо от их фактического предела огнестойкости, за исключением случаев, когда предел огнестойкости несущих элементов здания по результатам испытаний составляет менее R 8.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5.19* Здания и пожарные отсеки по конструктивной пожарной опасности подразделяются на классы согласно таблице 5*.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опасность заполнения проемов в ограждающих конструкциях зданий (дверей, ворот, окон и люков) не нормируется, за исключением специально оговоренных случаев.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4*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911"/>
        <w:gridCol w:w="1006"/>
        <w:gridCol w:w="1391"/>
        <w:gridCol w:w="1225"/>
        <w:gridCol w:w="864"/>
        <w:gridCol w:w="1070"/>
        <w:gridCol w:w="914"/>
      </w:tblGrid>
      <w:tr w:rsidR="00591C3D" w:rsidRPr="00591C3D" w:rsidTr="00591C3D">
        <w:trPr>
          <w:jc w:val="center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Степень огнестойкости здания</w:t>
            </w:r>
          </w:p>
        </w:tc>
        <w:tc>
          <w:tcPr>
            <w:tcW w:w="678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Предел огнестойкости строительных конструкций, не менее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Несущие элементы здания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Наружные ненесущие стены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Перекрытия междуэтажные, (в </w:t>
            </w:r>
            <w:proofErr w:type="spell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. чердачные и над подвалами)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Элементы </w:t>
            </w:r>
            <w:proofErr w:type="spell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бесчердачных</w:t>
            </w:r>
            <w:proofErr w:type="spell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покрытий</w:t>
            </w: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Лестничные клетки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Настилы (в том числе с утеплителем)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Фермы, балки, прогоны</w:t>
            </w:r>
          </w:p>
        </w:tc>
        <w:tc>
          <w:tcPr>
            <w:tcW w:w="95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Внутренние стены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Мерши</w:t>
            </w:r>
            <w:proofErr w:type="gram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и площадки лестниц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120</w:t>
            </w:r>
          </w:p>
        </w:tc>
        <w:tc>
          <w:tcPr>
            <w:tcW w:w="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 30</w:t>
            </w:r>
          </w:p>
        </w:tc>
        <w:tc>
          <w:tcPr>
            <w:tcW w:w="12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10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 30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30</w:t>
            </w:r>
          </w:p>
        </w:tc>
        <w:tc>
          <w:tcPr>
            <w:tcW w:w="9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120</w:t>
            </w: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60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60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45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 15</w:t>
            </w:r>
          </w:p>
        </w:tc>
      </w:tr>
      <w:tr w:rsidR="00591C3D" w:rsidRPr="00591C3D" w:rsidTr="00591C3D">
        <w:trPr>
          <w:jc w:val="center"/>
        </w:trPr>
        <w:tc>
          <w:tcPr>
            <w:tcW w:w="11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678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не нормируется</w:t>
            </w:r>
          </w:p>
        </w:tc>
      </w:tr>
    </w:tbl>
    <w:p w:rsidR="00591C3D" w:rsidRPr="00591C3D" w:rsidRDefault="00591C3D" w:rsidP="00591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5*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096"/>
        <w:gridCol w:w="917"/>
        <w:gridCol w:w="1293"/>
        <w:gridCol w:w="1602"/>
        <w:gridCol w:w="1069"/>
      </w:tblGrid>
      <w:tr w:rsidR="00591C3D" w:rsidRPr="00591C3D" w:rsidTr="00591C3D">
        <w:trPr>
          <w:jc w:val="center"/>
        </w:trPr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Класс 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конструктивной</w:t>
            </w:r>
            <w:proofErr w:type="gramEnd"/>
          </w:p>
        </w:tc>
        <w:tc>
          <w:tcPr>
            <w:tcW w:w="540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Класс пожарной опасности строительных конструкций, не ниже</w:t>
            </w:r>
          </w:p>
        </w:tc>
      </w:tr>
      <w:tr w:rsidR="00591C3D" w:rsidRPr="00591C3D" w:rsidTr="00591C3D">
        <w:trPr>
          <w:jc w:val="center"/>
        </w:trPr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пожарной опасности здания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Несущие стержневые элементы (колонны, ригели, фермы</w:t>
            </w:r>
            <w:proofErr w:type="gramEnd"/>
          </w:p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Стены наружные с внешней стороны</w:t>
            </w:r>
          </w:p>
        </w:tc>
        <w:tc>
          <w:tcPr>
            <w:tcW w:w="11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Стены, перегородки, перекрытия и </w:t>
            </w:r>
            <w:proofErr w:type="spell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бесчердачные</w:t>
            </w:r>
            <w:proofErr w:type="spellEnd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14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Стены лестничных клеток и противопожарные преграды</w:t>
            </w:r>
          </w:p>
        </w:tc>
        <w:tc>
          <w:tcPr>
            <w:tcW w:w="9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Марши и площадки лестниц в лестничных клетках</w:t>
            </w:r>
          </w:p>
        </w:tc>
      </w:tr>
      <w:tr w:rsidR="00591C3D" w:rsidRPr="00591C3D" w:rsidTr="00591C3D">
        <w:trPr>
          <w:jc w:val="center"/>
        </w:trPr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</w:tr>
      <w:tr w:rsidR="00591C3D" w:rsidRPr="00591C3D" w:rsidTr="00591C3D">
        <w:trPr>
          <w:jc w:val="center"/>
        </w:trPr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</w:t>
            </w:r>
            <w:proofErr w:type="gramEnd"/>
          </w:p>
        </w:tc>
      </w:tr>
      <w:tr w:rsidR="00591C3D" w:rsidRPr="00591C3D" w:rsidTr="00591C3D">
        <w:trPr>
          <w:jc w:val="center"/>
        </w:trPr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КЗ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КЗ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</w:tr>
      <w:tr w:rsidR="00591C3D" w:rsidRPr="00591C3D" w:rsidTr="00591C3D">
        <w:trPr>
          <w:jc w:val="center"/>
        </w:trPr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СЗ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91C3D" w:rsidRPr="00591C3D" w:rsidRDefault="00591C3D" w:rsidP="00591C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91C3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КЗ</w:t>
            </w:r>
            <w:proofErr w:type="gramEnd"/>
          </w:p>
        </w:tc>
      </w:tr>
    </w:tbl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5.20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внедрении в практику строительства конструктивных систем зданий, которые не могут быть однозначно отнесены к определенной степени огнестойкости или классу </w:t>
      </w: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конструктивной пожарной опасности, следует проводить огневые испытания натурных фрагментов зданий с учетом требований НПБ 233.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5.21* Здания и части зданий - помещения или группы помещений, функционально связанных между собой, по функциональной пожарной опасности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вида основного функционального контингента и его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постоянного проживания и временного (в том числе круглосуточного) пребывания людей (помещения в этих зданиях, как правило, используются круглосуточно, контингент людей в них может иметь различный возраст и физическое состояние, для этих зданий характерно наличие спальных помещений):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Детские дошкольные учреждения, специализированные дома престарелых и инвалидов (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неквартирные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больницы, спальные корпуса школ-интернатов и детских учреждений;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 Гостиницы, общежития, спальные корпуса санаториев и домов отдыха общего типа, кемпингов, мотелей и пансионатов;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Многоквартирные жилые дома;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 Одноквартирные, в том числе блокированные жилые дома;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Зрелищные и культурно-просветительные учреждения (основные помещения в этих зданиях характерны массовым пребыванием посетителей в определенные периоды времени):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 Музеи, выставки, танцевальные залы и другие подобные учреждения в закрытых помещениях;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Учреждения, указанные в Ф2.1, на открытом воздухе;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 Учреждения, указанные в Ф2.2, на открытом воздухе;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Ф3 Предприятия по обслуживанию населения (помещения этих предприятий характерны большей численностью посетителей, чем обслуживающего персонала):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3.1 Предприятия торговли;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3.2 Предприятия общественного питания;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3.3 Вокзалы;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3.4 Поликлиники и амбулатории;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 3.5 Помещения для посетителей предприятий бытового и коммунального обслуживания (почт, сберегательных касс, транспортных агентств, юридических консультаций, нотариальных контор, прачечных, ателье по пошиву и ремонту обуви и одежды, химической чистки, парикмахерских и других подобных, в том числе ритуальных и культовых учреждений) с нерасчетным числом посадочных мест для посетителей;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3.6 Физкультурно-оздоровительные комплексы и спортивно-тренировочные учреждения без трибун для зрителей, бытовые помещения, бани;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4 Учебные заведения, научные и проектные организации, учреждения управления (помещения в этих зданиях используются в течение суток некоторое время, в них находится, как правило, постоянный, привыкший к местным условиям контингент людей определенного возраста и физического состояния):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Школы, внешкольные учебные заведения, средние специальные учебные заведения, профессионально-технические училища;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4.2 Высшие учебные заведения, учреждения повышения квалификации;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4.3 Учреждения органов управления, проектно-конструкторские организации, информационные и редакционно-издательские организации, научно-исследовательские организации, банки, конторы, офисы;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4.4 Пожарные депо;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5 Производственные и складские здания, сооружения и помещения (для помещений этого класса характерно наличие постоянного контингента работающих, в том числе круглосуточно):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5.1 Производственные здания и сооружения, производственные и лабораторные помещения, мастерские;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5.2 Складские здания и сооружения, стоянки для автомобилей без технического обслуживания и ремонта, книгохранилища, архивы, складские помещения;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5.3 Сельскохозяйственные здания.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Производственные и складские здания и помещения по взрывопожарной и пожарной опасности в зависимости от количества и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пожаровзрывоопасных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 находящихся (обращающихся) в них веществ и материалов с учетом особенностей технологических процессов размещаемых в них производств подразделяются на категории согласно НПБ 105.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Производственные и складские помещения, в том числе лаборатории и мастерские в зданиях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Ф2, Ф3 и Ф4, относятся к классу Ф5.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6 ОБЕСПЕЧЕНИЕ БЕЗОПАСНОСТИ ЛЮДЕЙ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 Требования настоящего раздела направлены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своевременную и беспрепятственную эвакуацию людей;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спасение людей, которые могут подвергнуться воздействию опасных факторов пожара;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защиту людей на путях эвакуации от воздействия опасных факторов пожара.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 Эвакуация представляет собой процесс организованного самостоятельного движения людей наружу из помещений, в которых имеется возможность воздействия на них опасных факторов пожара. Эвакуацией также следует считать несамостоятельное перемещение людей, относящихся к маломобильным группам населения, осуществляемое обслуживающим персоналом. Эвакуация осуществляется по путям эвакуации через эвакуационные выходы.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воздействия. Спасение осуществляется самостоятельно, с помощью пожарных подразделений или специально обученного персонала, в том числе с использованием спасательных средств, через эвакуационные и аварийные выходы.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 Защита людей на путях эвакуации обеспечивается комплексом объемно-планировочных, эргономических, конструктивных, инженерно-технических и организационных мероприятий.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противодымной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помещений, выходящих на эвакуационный путь, численности эвакуируемых, степени огнестойкости и класса конструктивной пожарной опасности здания, количества эвакуационных выходов с этажа и из здания в целом.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опасность строительных материалов поверхностных слоев конструкций (отделок и облицовок)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 Мероприятия и средства, предназначенные для спасения людей, а также выходы, не соответствующие 6.9, при организации и проектировании процесса эвакуации из всех помещений и зданий не учитываются.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допускается размещать помещения класса Ф5 категорий А и Б под помещениями, предназначенными для одновременного пребывания более 50 чел., а также в подвальных и цокольных этажах.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подвальных и цокольных этажах не допускается размещать помещения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.1, Ф1.2 и Ф1.3.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6.7*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Противодымная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защита зданий должна выполняться в соответствии со СНиП 2.04.05-91.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оповещения о пожаре должна выполняться в соответствии с НПБ 104.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6.8 Эффективность мероприятий по обеспечению безопасности людей при пожаре может оцениваться расчетным путем.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ЭВАКУАЦИОННЫЕ И АВАРИЙНЫЕ ВЫХОДЫ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6.9 Выходы являются эвакуационными, если они ведут: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из помещений первого этажа наружу: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коридор;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вестибюль (фойе);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лестничную клетку;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коридор и вестибюль (фойе);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коридор и лестничную клетку;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из помещений любого этажа, кроме первого: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в лестничную клетку или на лестницу 3-го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коридор, ведущий непосредственно в лестничную клетку или на лестницу 3-го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холл (фойе), имеющий выход непосредственно в лестничную клетку или на лестницу 3-го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соседнее помещение (кроме помещения класса Ф5 категории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Б) на том же этаже, обеспеченное выходами, указанными в а и б; выход в помещение категории А или Б допускается считать эвакуационным, если он ведет из технического помещения без постоянных рабочих мест, предназначенного для обслуживания вышеуказанного помещения категории А или Б.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Выходы из подвальных и цокольных этажей, являющиеся эвакуационными, как правило, следует предусматривать непосредственно наружу обособленными от общих лестничных клеток здания.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эвакуационные выходы из подвалов предусматривать через общие лестничные клетки с обособленным выходом наружу, отделенным от остальной части лестничной клетки глухой противопожарной перегородкой 1-го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эвакуационные выходы из подвальных и цокольных этажей с помещениями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 и Д предусматривать в помещения категорий Г, Д и в вестибюль, расположенные на первом этаже зданий класса Ф5, при соблюдении требований 7.23;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эвакуационные выходы из фойе, гардеробных, курительных и санитарных узлов, размещенных в подвальных или цокольных этажах зданий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Ф3 и Ф4, предусматривать в вестибюль первого этажа по отдельным лестницам 2-го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оборудовать тамбуром выход непосредственно наружу из здания, из подвального и цокольного этажей.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6.10 Выходы не являются эвакуационными, если в их проемах установлены раздвижные и подъемно-опускные двери и ворота, ворота для железнодорожного подвижного состава, вращающиеся двери и турникеты.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Калитки в распашных воротах могут считаться эвакуационными выходами.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6.11 Количество и общая ширина эвакуационных выходов из помещений,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(рабочего места) до ближайшего эвакуационного выхода.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здания различной функциональной пожарной опасности, разделенные противопожарными преградами, должны быть обеспечены самостоятельными эвакуационными выходами.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6.12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менее двух эвакуационных выходов должны иметь: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.1, предназначенные для одновременного пребывания более 10 чел.;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подвальных и цокольных этажей, предназначенные для одновременного пребывания более 15 чел.; в помещениях подвальных и цокольных этажей, предназначенных для одновременного пребывания от 6 до 15 чел., один из двух выходов допускается предусматривать в соответствии с требованиями 6.20, г;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предназначенные для одновременного пребывания более 50 чел.;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 класса Ф5 категорий А и Б с численностью работающих в наиболее многочисленной смене более 5 чел., категории В - более 25 чел. или площадью более 1000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открытые этажерки и площадки в помещениях класса Ф5, предназначенные для обслуживания оборудования, при площади пола яруса более 100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для помещений категорий А и Б и более 400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для помещений других категорий.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(квартиры), расположенные на двух этажах (уровнях), при высоте расположения верхнего этажа более 18 м должны иметь эвакуационные выходы с каждого этажа,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6.13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Н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менее двух эвакуационных выходов должны иметь этажи зданий класса: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.1; Ф1.2; Ф2.1; Ф2.2; ФЗ; Ф4;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Ф1.3 при общей площади квартир на этаже, а для зданий секционного типа - на этаже секции - более 500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при меньшей площади (при одном эвакуационном выходе с </w:t>
      </w: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этажа) каждая квартира, расположенная на высоте более 15 м, кроме эвакуационного должна иметь аварийный выход по 6.20;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Ф5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 при численности работающих в наиболее многочисленной смене более 5 чел., категории В - 25 чел.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двух эвакуационных выходов должны иметь подвальные и цокольные этажи при площади более 300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предназначенные для одновременного пребывания более 15 чел.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предусматривать один эвакуационный выход с этажей двухэтажных зданий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.2; ФЗ и Ф4.3 при условии, что высота расположения этажа не превышает 6 м, при этом численность людей на этаже не должна превышать 20 человек.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6.14 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эвакуационных выходов из здания должно быть не менее числа эвакуационных выходов с любого этажа здания.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наличии двух эвакуационных выходов и более они должны быть расположены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рассредоточенно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устройстве двух эвакуационных выходов каждый из них должен обеспечивать безопасную эвакуацию всех людей, находящихся в помещении, на этаже или в здании. При наличии более двух эвакуационных выходов безопасная эвакуация всех людей, находящихся в помещении, на этаже или в здании, должна быть обеспечена всеми эвакуационными выходами, кроме каждого одного из них.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6.16 Высота эвакуационных выходов в свету должна быть не менее 1,9 м, ширина не менее: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1,2 м - из помещений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 при числе эвакуирующихся более 15 чел., из помещений и зданий других классов функциональной пожарной опасности, за исключением класса Ф1.3, - более 50 чел.;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0,8 м - во всех остальных случаях.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 наружных дверей лестничных клеток и дверей из лестничных клеток в вестибюль должна быть не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расчетной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ширины марша лестницы, установленной в 6.29.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случаях ширина эвакуационного выхода должна быть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6.17 Двери эвакуационных выходов и другие двери на путях эвакуации должны открываться по направлению выхода из здания.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нормируется направление открывания дверей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помещений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и Ф1.4;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помещений с одновременным пребыванием не более 15 чел., кроме помещений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кладовых площадью не более 200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постоянных рабочих мест;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санитарных узлов;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выхода на площадки лестниц 3-го типа;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наружных дверей зданий, расположенных в северной строительной климатической зоне.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6.18* Двери эвакуационных выходов из поэтажных коридоров, холлов, фойе, вестибюлей и лестничных клеток не должны иметь запоров, препятствующих их свободному открыванию изнутри без ключа.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Двери лестничных клеток, ведущие в общие коридоры, двери лифтовых холлов и двери тамбур-шлюзов с постоянным подпором воздуха должны иметь приспособления для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самозакрывания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уплотнения в притворах, а двери тамбур-шлюзов с подпором воздуха при пожаре и двери помещений с принудительной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противодымной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защитой должны иметь автоматические устройства для их закрывания при пожаре и уплотнение в притворах.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6.19 Выходы, не отвечающие требованиям, предъявляемым к эвакуационным выходам, могут рассматриваться как аварийные и предусматриваться для повышения безопасности людей при пожаре. Аварийные выходы не учитываются при эвакуации в случае пожара.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6.20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К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аварийным выходам также относятся: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выход на открытый балкон или лоджию с глухим простенком не менее 1,2 м от торца балкона (лоджии) до оконного проема (остекленной двери) или не менее 1,6 м между остекленными проемами, выходящими на балкон (лоджию);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выход на открытый переход шириной не менее 0,6 м, ведущий в смежную секцию здания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или в смежный пожарный отсек через воздушную зону;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выход на балкон или лоджию, оборудованные наружной лестницей, поэтажно соединяющей балконы или лоджии;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выход непосредственно наружу из помещений с отметкой чистого пола не ниже -4,5 м и не выше + 5,0 м через окно или дверь с размерами не менее 0,75х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,5 м, а также через люк размерами не менее 0,6х0,8 м; при этом выход через приямок должен быть оборудован лестницей в приямке, а выход через люк  лестницей в помещении; уклон этих лестниц не нормируется;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выход на кровлю здания I, II и III степеней огнестойкости классов С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С1 через окно, дверь или люк с размерами и лестницей по «г».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технических этажей, предназначенных только для прокладки инженерных сетей, допускается предусматривать аварийные выходы через двери с размерами не менее 0,75х1,5 м, а также через люки с размерами не менее 0,6х0,8 м без устройства эвакуационных выходов.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площади технического этажа до 300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допускается предусматривать один выход, а на каждые последующие полные и неполные 2000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площади следует предусматривать еще не менее одного выхода.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технических подпольях эти выходы должны быть обособлены от выходов из здания и вести непосредственно наружу.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ЭВАКУАЦИОННЫЕ ПУТИ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6.22 Пути эвакуации должны быть освещены в соответствии с требованиями СНиП 23-05-95.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6.23 Предельно допустимое расстояние от наиболее удаленной точки помещения, а для зданий класса Ф5 - от наиболее удаленного рабочего места до ближайшего эвакуационного выхода, измеряемое по оси эвакуационного пути, должно быть ограничено в зависимости от класса функциональной пожарной опасности и категории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взрывопожароопасности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 и здания, численности эвакуируемых, геометрических параметров помещений и эвакуационных путей, класса конструктивной пожарной опасности и степени огнестойкости здания.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Длину пути эвакуации по лестнице 2-го типа следует принимать равной ее утроенной высоте.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6.24 Эвакуационные пути следует предусматривать с учетом 6.9; они не должны включать лифты и эскалаторы, а также участки, ведущие: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коридоры с выходами из лифтовых шахт, через лифтовые холлы и тамбуры перед лифтами, если ограждающие конструкции шахт лифтов, включая двери шахт лифтов, не отвечают требованиям, предъявляемым к противопожарным преградам;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«проходные» лестничные клетки, когда площадка лестничной клетки является частью коридора;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кровле зданий, за исключением эксплуатируемой кровли или специально оборудованного участка кровли;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лестницам 2-го типа, соединяющим более двух этажей (ярусов), а также ведущим из подвалов и цокольных этажей, за исключением случая, указанного в 6.9.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всех степеней огнестойкости и классов конструктивной пожарной опасности, кроме зданий V степени огнестойкости и зданий класса С3, на путях эвакуации не допускается применять материалы с более высокой пожарной опасностью, чем: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В1, Д2,Т2 - для отделки стен, потолков и заполнения подвесных потолков в вестибюлях, лестничных клетках, лифтовых холлах;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В2, Д3, Т3 или Г2, В3, Д2, Т2 - для отделки стен, потолков и заполнения подвесных потолков в общих коридорах, холлах и фойе;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РП2, Д2, Т2 - для покрытий пола в вестибюлях, лестничных клетках, лифтовых холлах;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В2, РП2, Д3, Т2 - для покрытий пола в общих коридорах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холлах и фойе.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класса Ф5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 и В1, в которых производятся, применяются или хранятся легковоспламеняющиеся жидкости, полы следует выполнять из негорючих материалов или материалов группы горючести Г1.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Каркасы подвесных потолков в помещениях и на путях эвакуации следует выполнять из негорючих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общих коридорах, за исключением специально оговоренных в нормах случаев, не допускается размещать оборудование, выступающее из плоскости стен на высоте менее 2 м, газопроводы и трубопроводы с горючими жидкостями, а также встроенные шкафы, кроме шкафов для коммуникаций и пожарных кранов.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коридоры длиной более 60 м следует разделять противопожарными перегородками 2-го типа на участки, длина которых определяется по СНиП 2.04.05-91, но не должна превышать 60 м. Двери в этих перегородках должны соответствовать требованиям 6.18.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6.27 Высота горизонтальных участков путей эвакуации в свету должна быть не менее 2 м, ширина горизонтальных участков путей эвакуации и пандусов должна быть не менее: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1,2 м - для общих коридоров, по которым могут эвакуироваться из помещений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15 чел., из помещений других классов функциональной пожарной опасности - более 50 чел.;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0,7 м - для проходов к одиночным рабочим местам;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1,0 м - во всех остальных случаях.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любом случае эвакуационные пути должны быть такой ширины, чтобы с учетом их геометрии по ним можно было беспрепятственно пронести носилки с лежащим на них человеком.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6.28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 лестницы с числом ступеней не менее трех или пандусы с уклоном не более 1:6.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высоте лестниц более 45 см следует предусматривать ограждения с перилами.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путях эвакуации не допускается устройство винтовых лестниц и забежных ступеней, а также лестниц с различной шириной проступи и высотой ступеней в пределах марша и лестничной клетки.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ЭВАКУАЦИЯ ПО ЛЕСТНИЦАМ И ЛЕСТНИЧНЫМ КЛЕТКАМ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6.29 Ширина марша лестницы, предназначенной для эвакуации людей, в том числе, расположенной в лестничной клетке, должна быть не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расчетной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не менее ширины любого эвакуационного выхода (двери) на нее, но, как правило, не менее: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1,35 м - для зданий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1,2 м - для зданий с числом людей, находящихся на любом этаже, кроме первого, более 200 чел.;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0,7 м - для лестниц, ведущих к одиночным рабочим местам;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0,9 м - для всех остальных случаев.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6.30 Уклон лестниц на путях эвакуации должен быть, как правило, не более 1:1; ширина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проступи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 правило, не менее 25 см, а высота ступени - не более 22 см.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Уклон открытых лестниц для прохода к одиночным рабочим местам допускается увеличивать до 2:1.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уменьшать ширину проступи криволинейных парадных лестниц в узкой части до 22 см; ширину проступи лестниц, ведущих только к помещениям (кроме помещений класса Ф5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Б) с общим числом рабочих мест не более 15 чел. - до 12 см.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Лестницы 3-го типа следует выполнять из негорючих материалов и размещать, как правило, у глухих (без световых проемов) частей стен класса не ниже К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пределом огнестойкости не ниже RЕI 30. Эти лестницы должны иметь площадки на уровне эвакуационных выходов, ограждения высотой 1,2 м и располагаться на расстоянии не менее 1 м от оконных проемов.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6.31 Ширина лестничных площадок должна быть не менее ширины марша, а перед входами в лифты с распашными дверями - не менее суммы ширины марша и половины ширины двери лифта, но не менее 1,6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Промежуточные площадки в прямом марше лестницы должны иметь ширину не менее 1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Двери, выходящие на лестничную клетку, в открытом положении не должны уменьшать ширину лестничных площадок и маршей.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6.32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лестничных клетках не допускается размещать газопроводы и трубопроводы с горючими жидкостями, встроенные шкафы, кроме шкафов для коммуникаций и пожарных кранов, электрические кабели и провода (за исключением электропроводки для освещения коридоров и лестничных клеток), встраивать помещения любого назначения, предусматривать выходы из грузовых лифтов и грузовых подъемников, а также размещать оборудование, выступающее из плоскости стен на высоте до 2,2 м от поверхности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проступей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площадок лестницы.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высотой до 28 м включительно в обычных лестничных клетках допускается предусматривать мусоропроводы и электропроводку для освещения помещений.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6.33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лестничных клетках, кроме незадымляемых, допускается размещать не более двух пассажирских лифтов, опускающихся не ниже первого этажа, с ограждающими конструкциями лифтовых шахт из негорючих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незадымляемых лестничных клетках допускается предусматривать только приборы отопления.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6.34* Лестничные клетки должны иметь выход наружу на прилегающую к зданию территорию непосредственно или через вестибюль, отделенный от примыкающих коридоров перегородками с дверями. При устройстве эвакуационных выходов из двух лестничных клеток через общий вестибюль одна из них, кроме выхода в вестибюль должна иметь выход непосредственно наружу.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Лестничные клетки типа 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иметь выход только непосредственно наружу.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6.35 Лестничные клетки, за исключением лестничных клеток типа Л2, как правило, должны иметь световые проемы площадью не менее 1,2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наружных стенах на каждом этаже.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предусматривать не более 50 % внутренних лестничных клеток, предназначенных для эвакуации, без световых проемов в зданиях: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Ф3 и Ф4 - типа Н2 или Н3 с подпором воздуха при пожаре;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 Ф5 категории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высотой до 28 м, а категорий Г и Д независимо от высоты здания - типа Н3 с подпором воздуха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Лестничные клетки типа Л2 должны иметь в покрытии световые проемы площадью не менее 4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просветом между маршами шириной не менее 0,7 м или световую шахту на всю высоту лестничной клетки с площадью горизонтального сечения не менее 2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6.36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Противодымная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защита лестничных клеток типов 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Н3 должна предусматриваться в соответствии со СНиП 2.04.05-91. При необходимости лестничные клетки типа 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разделять по высоте на отсеки глухими противопожарными перегородками 1-го типа с переходом между отсеками вне объема лестничной клетки.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Окна в лестничных клетках типа 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неоткрывающимися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6.37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Незадымляемость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переходов через наружную воздушную зону, ведущих к незадымляемым лестничным клеткам типа Н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должна быть обеспечена их конструктивными и объемно-планировочными решениями: эти переходы должны быть открытыми, не должны располагаться во внутренних углах здания и должны иметь ширину не менее 1,2 м с высотой ограждения 1,2 м; ширина простенка между дверными проемами в наружной воздушной зоне должна быть не менее 1,2 м, а между дверными проемами лестничной клетки и ближайшим окном - не менее 2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6.38 Лестничные клетки типа Л1 могут предусматриваться в зданиях всех классов функциональной пожарной опасности высотой до 28 м; при этом в зданиях класса Ф5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 выходы в поэтажный коридор из помещений категорий А и Б должны предусматриваться через тамбур-шлюзы с постоянным подпором воздуха.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6.39* Лестничные клетки типа Л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допускается предусматривать в зданиях I, II и III степеней огнестойкости классов конструктивной пожарной опасности С0 и С1 и функциональной пожарной опасности Ф1, Ф2, Ф3 и Ф4 высотой, как правило, не более 9 м. Допускается увеличивать высоту зданий до 12 м при автоматическом открывании верхнего светового проема при пожаре и при устройстве в зданиях класса Ф1.3 автоматической пожарной сигнализации или автономных пожарных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извещателей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Допускается увеличивать высоту зданий до 12 м при автоматическом открывании верхнего светового проема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Ф3 и Ф4 таких лестниц должно быть не более 50 %, остальные должны иметь световые проемы в наружных стенах на каждом этаже;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секционного типа в каждой квартире, расположенной выше 4 м, следует предусматривать аварийный выход по 6.20.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6.40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высотой более 28 м, а также в зданиях класса Ф5 категорий А и Б следует предусматривать незадымляемые лестничные клетки, как правило, типа Н1.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 коридорного типа предусматривать не более 50 % лестничных клеток типа Н2;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.1, Ф1.2, Ф2, Ф3 и Ф4 предусматривать не более 50% лестничных клеток типа Н2 или Н3 с подпором воздуха при пожаре;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Ф5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 предусматривать лестничные клетки типов Н2 и Н3 с естественным освещением и постоянным подпором воздуха;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Ф5 категории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предусматривать лестничные клетки типа Н2 или Н3 с подпором воздуха при пожаре;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Ф5 категорий Г и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предусматривать лестничные клетки типа Н2 или Н3 с подпором воздуха при пожаре,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с незадымляемыми лестничными клетками следует предусматривать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противодымную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защиту общих коридоров, вестибюлей, холлов и фойе.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6.42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всех классов функциональной пожарной опасности, кроме Ф1.3, допускается по условиям технологии предусматривать отдельные лестницы для сообщения между подвальным или цокольным этажом и первым этажом, соответствующие требованиям 7.23. Эти лестницы не учитываются при эвакуации, за исключением случая, оговоренного в 6.9.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6.43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I и II степеней огнестойкости класса С0 допускается предусматривать лестницы 2-го типа из вестибюля до второго этажа с учетом требований 7.24.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6.44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высотой не более 28 м классов функциональной пожарной опасности Ф1.2, Ф2, Ф3, Ф4 I и II степеней огнестойкости и конструктивной пожарной опасности С0 допускается применять лестницы 2-го типа, соединяющие более двух этажей, при наличии эвакуационных лестничных клеток, требуемых нормами, и при соблюдении требований 7.25.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6.45 Эскалаторы следует предусматривать в соответствии с требованиями, установленными для лестниц 2-го типа.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7 ПРЕДОТВРАЩЕНИЕ РАСПРОСТРАНЕНИЯ ПОЖАРА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 Предотвращение распространения пожара достигается мероприятиями, ограничивающими площадь, интенсивность и продолжительность горения. К ним относятся: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конструктивные и объемно-планировочные решения, препятствующие распространению опасных факторов пожара по помещению, между помещениями, между группами помещений различной функциональной пожарной опасности, между этажами и секциями, между пожарными отсеками, а также между зданиями;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ограничение пожарной опасности строительных материалов, используемых в поверхностных слоях конструкций здания, в том числе кровель, отделок и облицовок фасадов, помещений и путей эвакуации;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технологической взрывопожарной и пожарной опасности помещений и зданий;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первичных, в том числе автоматических и привозных средств пожаротушения;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сигнализация и оповещение о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 Части зданий, тушение пожара в которых затруднено (технические помещения и этажи, подвальные и цокольные этажи и другие части зданий), следует оборудовать дополнительными средствами, направленными на ограничение площади, интенсивности и продолжительности горения.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 Эффективность мероприятий, направленных на предотвращение распространения пожара, допускается оценивать технико-экономическими расчетами, основанными на требованиях раздела 4 по ограничению прямого и косвенного ущерба от пожара.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 Части зданий и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преградами,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помещений, величины пожарной нагрузки, степени огнестойкости и класса конструктивной пожарной опасности здания.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наличии в здании частей различной функциональной пожарной опасности, разделенных противопожарными преградами, каждая из таких частей должна отвечать противопожарным требованиям, предъявляемым к зданиям соответствующей функциональной пожарной опасности.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выборе системы противопожарной защиты здания следует учитывать, что при различной функциональной пожарной опасности его частей функциональная пожарная опасность здания в целом может быть выше функциональной пожарной опасности любой из этих частей.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класса Ф5 помещения категорий А и Б следует, если это допускается требованиями технологии, размещать у наружных стен, а в многоэтажных зданиях - на верхних этажах,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7.7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подвальных и цокольных этажах не допускается размещать помещения, в которых применяются или хранятся горючие газы и жидкости, а также легковоспламеняющиеся материалы, за исключением специально оговоренных случаев.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7.8 Строительные конструкции не должны способствовать скрытому распространению горения.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7.9 Огнестойкость узла крепления строительной конструкции должна быть не ниже требуемой огнестойкости самой конструкции.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7.10 Конструкции, образующие уклон пола в зальных помещениях, должны соответствовать требованиям, установленным в таблицах 4* и 5* для междуэтажных перекрытий.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7.11 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пожарно-технических показателей конструкций.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7.12* Специальные огнезащитные покрытия и пропитки, нанесенные на открытую поверхность конструкций, должны соответствовать требованиям, предъявляемым к отделке конструкций.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7.13 Эффективность средств огнезащиты, применяемых для снижения пожарной опасности материалов, должна оцениваться посредством испытаний для определения групп пожарной опасности строительных материалов, установленных в разд. 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средств огнезащиты, применяемых для повышения огнестойкости конструкций, должна оцениваться посредством испытаний для определения пределов огнестойкости строительных конструкций, установленных в разд. 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средств огнезащиты, не учитываемых при определении несущей способности металлических конструкций, допускается оценивать без статической нагрузки путем сравнительных испытаний моделей колонны уменьшенных размеров высотой не менее 1,7 м или моделей балки пролетом не менее 2,8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7.14 Подвесные потолки, применяемые для повышения пределов огнестойкости перекрытий и покрытий, по пожарной опасности должны соответствовать требованиям, предъявляемым к этим перекрытиям и покрытиям.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Противопожарные перегородки в помещениях с подвесными потолками должны разделять пространство над ними.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пространстве за подвесными потолками не допускается предусматривать размещение каналов и трубопроводов для транспортирования горючих газов, пылевоздушных смесей, жидкостей и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Подвесные потолки не допускается предусматривать в помещениях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местах сопряжения противопожарных преград с ограждающими конструкциями здания, в том числе в местах изменения конфигурации здания, следует предусматривать мероприятия, обеспечивающие нераспространение пожара, минуя эти преграды.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7.16 Противопожарные стены, разделяющие здание на пожарные отсеки, должны возводиться на всю высоту здания и обеспечивать нераспространение пожара в смежный пожарный отсек при обрушении конструкций здания со стороны очага пожара.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7.17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пожаре проемы в противопожарных преградах должны быть, как правило, закрыты.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Окна в противопожарных преградах должны быть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неоткрывающимися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двери, ворота, люки и клапаны должны иметь устройства для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самозакрывания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уплотнения в притворах. Двери, ворота, люки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7.18 Общая площадь проемов в противопожарных преградах, за исключением ограждений лифтовых шахт, не должна превышать 25 % их площади. Заполнения проемов в противопожарных преградах должны отвечать требованиям 5.14*и требованиям настоящего раздела.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противопожарных преградах, отделяющих помещения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 от помещений других категорий, коридоров, лестничных клеток и лифтовых холлов, следует предусматривать тамбур-шлюзы с постоянным подпором воздуха по СНиП 2.04.05-91. Устройство общих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тамбур-шлюзов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двух помещений и более указанных категорий не допускается.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7.19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невозможности устройства тамбур-шлюзов в противопожарных преградах, отделяющих помещения категорий А и Б от других помещений, или дверей, ворот, люков и клапанов - в противопожарных преградах, отделяющих помещения категории В от других помещений, следует предусматривать комплекс мероприятий по предотвращению распространения пожара и проникания горючих газов, паров легковоспламеняющихся и горючих жидкостей,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пылей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волокон, способных образовывать взрывоопасные концентрации, в смежные этажи и помещения. Эффективность этих мероприятий должна быть обоснована.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проемах противопожарных преград, которые не могут закрываться противопожарными дверями или воротами, для сообщения между смежными помещениями категорий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 и Д допускается предусматривать открытые тамбуры, оборудованные установками автоматического пожаротушения. Ограждающие конструкции этих тамбуров должны быть противопожарными.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7.20 Заполнение проемов в противопожарных преградах должно выполняться, как правило, из негорючих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Двери, ворота, люки и клапаны допускается выполнять с применением материалов групп горючести не ниже Г3, защищенных негорючими материалами толщиной не менее 4 мм.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Двери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тамбур-шлюзов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двери, ворота и люки в противопожарных преградах со стороны помещений, в которых не применяются и не хранятся горючие газы, жидкости и материалы, а также отсутствуют процессы, связанные с образованием горючих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пылей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допускается выполнять из материалов группы горючести Г3 толщиной не менее 40 мм и без пустот.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7.21 Противопожарные стены и перекрытия 1-го типа не допускается пересекать каналами, шахтами и трубопроводами для транспортирования горючих газов, пылевоздушных смесей, жидкостей, веществ и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местах пересечения таких противопожарных преград каналами, шахтами и трубопроводами для транспортирования сред, отличных от вышеуказанных, следует предусматривать автоматические устройства, предотвращающие распространение продуктов горения по каналам, шахтам и трубопроводам.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7.22 Ограждающие конструкции лифтовых шахт (кроме указанных в 6.33) и помещений машинных отделений лифтов (кроме расположенных на кровле), а также каналов, шахт и ниш для прокладки коммуникаций должны соответствовать требованиям, предъявляемым к противопожарным перегородкам 1-го типа и перекрытиям 3-го типа.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1-го типа и перекрытиями 3-го типа или экраны, автоматически закрывающие дверные проемы лифтовых шахт при пожаре. Такие экраны должны быть выполнены из негорючих материалов, и предел их огнестойкости должен быть не ниже Е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зданиях с незадымляемыми лестничными клетками должна предусматриваться автоматическая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противодымная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защита лифтовых шахт, не имеющих у выхода из них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тамбур-шлюзов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подпором воздуха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Ствол мусоропроводов следует выполнять из негорючих материалов.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7.23 Лестницы из подвального (или цокольного) этажа, в помещениях которого применяются или хранятся горючие вещества и материалы, ведущие в помещения первого этажа (по 6.42), должны быть ограждены противопожарными перегородками 1-го типа с устройством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тамбур-шлюза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подпором воздуха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класса Ф5 выход из подвального (цокольного) этажа с помещениями категорий В4, Г и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допускается предусматривать на первый этаж в помещения тех же категорий без устройства тамбур-шлюзов.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Ф3, Ф4 выходы на первый этаж из фойе, гардеробных, курительных и санузлов, размещенных в подвальном (цокольном) этаже, допускается предусматривать без устройства тамбур-шлюзов.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7.24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устройстве лестниц 2-го типа, ведущих из вестибюля до второго этажа, вестибюль должен быть отделен от коридоров и смежных помещений противопожарными перегородками 1-го типа.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7.25 Помещение, в котором расположена лестница 2-го типа, предусмотренная в 6.44, должно отделяться от примыкающих к нему коридоров и других помещений противопожарными перегородками 1-го типа. Допускается не отделять противопожарными перегородками помещение, в котором расположена лестница 2-го типа: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устройстве автоматического пожаротушения во всем здании;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зданиях высотой не более 9 м с площадью этажа не более 300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подвальном или цокольном этаже перед лифтами следует предусматривать тамбур-шлюзы 1-го типа с подпором воздуха при пожаре.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7.27 Выбор размеров здания и пожарных отсеков, а также расстояний между зданиями следует производить в зависимости от степени их огнестойкости, класса конструктивной и функциональной пожарной опасности и величины пожарной нагрузки, а также с учетом эффективности применяемых средств противопожарной защиты, наличия и удаленности пожарных служб, их вооруженности, возможных экономических и экологических последствий пожара.</w:t>
      </w:r>
      <w:proofErr w:type="gramEnd"/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7.28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процессе эксплуатации должна быть обеспечена работоспособность всех инженерных средств противопожарной защиты.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7.29 Автоматическое пожаротушение и пожарную сигнализацию следует предусматривать в соответствии с НПБ 110.</w:t>
      </w:r>
    </w:p>
    <w:p w:rsidR="00591C3D" w:rsidRPr="00591C3D" w:rsidRDefault="00591C3D" w:rsidP="00591C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591C3D">
        <w:rPr>
          <w:rFonts w:ascii="Arial" w:eastAsia="Times New Roman" w:hAnsi="Arial" w:cs="Arial"/>
          <w:b/>
          <w:bCs/>
          <w:color w:val="000000" w:themeColor="text1"/>
          <w:lang w:eastAsia="ru-RU"/>
        </w:rPr>
        <w:t>8 ТУШЕНИЕ ПОЖАРА И СПАСАТЕЛЬНЫЕ РАБОТЫ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 Тушение возможного пожара и проведение спасательных работ обеспечиваются конструктивными, объемно-планировочными, инженерно-техническими и организационными мероприятиями.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ним относятся: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пожарных проездов и подъездных путей для пожарной техники, совмещенных с функциональными проездами и подъездами или специальных;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зданий, в том числе устройство лифтов, имеющих режим «перевозки пожарных подразделений»;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устройство противопожарного водопровода, в том числе совмещенного с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хозяйственным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специального, а при необходимости, устройство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сухотрубов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пожарных емкостей (резервуаров);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противодымная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защита путей следования пожарных подразделений внутри здания;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оборудование здания в необходимых случаях индивидуальными и коллективными средствами спасения людей;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техникой, соответствующей условиям тушения пожаров на объектах, расположенных в радиусе их действия.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этих мероприятий зависит от степени огнестойкости, класса конструктивной и функциональной пожарной опасности здания.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 Проезды для основных и специальных пожарных машин следует предусматривать в соответствии с требованиями СНиП 2.07.01-89, СНиП II-89-80, СНиП II-97-76.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зданий высотой 10 м и более до карниза кровли или верха наружной стены (парапета) следует предусматривать выходы на кровлю из лестничных клеток непосредственно или через чердак, за исключением теплого, а также по лестницам 3-го типа или по наружным пожарным лестницам.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выходов на кровлю и их расположение следует предусматривать в зависимости от функциональной пожарной опасности и размеров здания, но не менее чем один выход: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каждые полные и неполные 100 м длины здания с чердачным покрытием и не менее чем один выход на каждые полные и неполные 1000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площади кровли здания с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бесчердачным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покрытием для зданий классов Ф1, Ф2, Ф3 и Ф4;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пожарным лестницам через 200 м по периметру зданий класса Ф5.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не предусматривать: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пожарные лестницы на главном фасаде здания, если ширина здания не превышает 150 м, а со стороны, противоположной главному фасаду, имеется линия противопожарного водопровода;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выход на кровлю одноэтажных зданий с покрытием площадью не более 100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чердаках зданий следует предусматривать выходы на кровлю, оборудованные стационарными лестницами, через двери, люки или окна размерами не менее 0,6х0,8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Выходы из лестничных клеток на кровлю или чердак следует предусматривать по лестничным маршам с площадками перед выходом, через противопожарные двери 2-го типа размерами не менее 0,75х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,5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классов Ф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Ф2, Ф3 и Ф4 высотой до 15 м допускается устройство выходов на чердак или кровлю из лестничных клеток через противопожарные люки 2-го типа с размерами 0,6х0,8 м по закрепленным стальным стремянкам.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8.5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технических этажах, в том числе в технических подпольях и технических чердаках, высота прохода в свету должна быть не менее 1,8 м; в чердаках вдоль всего здания - не менее 1,6 м. Ширина этих проходов должна быть не менее 1,2 м. На отдельных участках протяженностью не более 2 м допускается уменьшать высоту прохода до 1,2 м, а ширину - до 0,9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8.6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с мансардами следует предусматривать люки в ограждающих конструкциях пазух чердаков.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8.7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местах перепада высот кровель (в том числе для подъема на кровлю светоаэрационных фонарей) более 1 м, как правило, следует предусматривать пожарные лестницы.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предусматриваются пожарные лестницы на перепаде высот кровель более 10 м, если каждый участок кровли площадью более 100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spellEnd"/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собственный выход на кровлю, отвечающий требованиям 8.3, или высота нижнего участка кровли, определяемая по 8.3, не превышает 10 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8.8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подъема на высоту от 10 до 20 м и в местах перепада высот кровель от 1 до 20 м следует применять пожарные лестницы типа П1, для подъема на высоту более 20 м и в местах перепада высот более 20 м - пожарные лестницы типа П2.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Пожарные лестницы должны выполняться из негорючих материалов, располагаться не ближе 1 м от окон и должны быть рассчитаны на их использование пожарными подразделениями.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8.9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ежду маршами лестниц и между поручнями ограждений лестничных маршей следует предусматривать зазор шириной в плане в свету не менее 75 мм.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8.10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 пожарном отсеке зданий класса Ф1.1 высотой более 5 м, зданий всех классов функциональной пожарной опасности высотой более 28 м (за  исключением зданий класса Ф1,3) следует предусматривать лифты для транспортирования пожарных подразделений, отвечающие требованиям НПБ 250.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8.11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зданиях с уклоном кровли до 12 % включительно, высотой до карниза или верха наружной стены (парапета) более 10 м, а также в зданиях с уклоном кровли свыше 12% и высотой до карниза более 7 м следует предусматривать ограждения на кровле в соответствии с ГОСТ 25772-83. Независимо от высоты здания ограждения, соответствующие требованиям этого стандарта, следует предусматривать для эксплуатируемых плоских кровель, балконов, лоджий, наружных галерей, открытых наружных лестниц, лестничных маршей и площадок.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8.12 Пожарные депо следует располагать на территории в соответствии с требованиями СНиП 2.07.01-89, СНиП II-89-80 и НПБ 101.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8.13 Необходимость устройства пожарного водопровода и других стационарных средств пожаротушения должна предусматриваться в зависимости от степени огнестойкости, конструктивной и функциональной пожарной опасности здания, величины и </w:t>
      </w:r>
      <w:proofErr w:type="spell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пожаровзрывоопасности</w:t>
      </w:r>
      <w:proofErr w:type="spell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временной пожарной нагрузки.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8.14. К  системам противопожарного водоснабжения зданий должен быть обеспечен постоянный доступ для пожарных подразделений и их оборудования.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 документа сверен </w:t>
      </w:r>
      <w:proofErr w:type="gramStart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официальное издание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Госстрой России -</w:t>
      </w:r>
    </w:p>
    <w:p w:rsidR="00591C3D" w:rsidRPr="00591C3D" w:rsidRDefault="00591C3D" w:rsidP="0059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М.: ГУП ЦПП, 1999</w:t>
      </w:r>
    </w:p>
    <w:p w:rsidR="00740CB2" w:rsidRPr="00591C3D" w:rsidRDefault="00740CB2">
      <w:pPr>
        <w:rPr>
          <w:color w:val="000000" w:themeColor="text1"/>
        </w:rPr>
      </w:pPr>
    </w:p>
    <w:sectPr w:rsidR="00740CB2" w:rsidRPr="0059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3D"/>
    <w:rsid w:val="00000B7F"/>
    <w:rsid w:val="00000C7D"/>
    <w:rsid w:val="00002BBD"/>
    <w:rsid w:val="00006A84"/>
    <w:rsid w:val="00011F6C"/>
    <w:rsid w:val="00012407"/>
    <w:rsid w:val="00014A7D"/>
    <w:rsid w:val="000227C5"/>
    <w:rsid w:val="00025B44"/>
    <w:rsid w:val="00030083"/>
    <w:rsid w:val="000312B1"/>
    <w:rsid w:val="00031ACE"/>
    <w:rsid w:val="00041FC5"/>
    <w:rsid w:val="00050072"/>
    <w:rsid w:val="00051675"/>
    <w:rsid w:val="00054690"/>
    <w:rsid w:val="00056BF7"/>
    <w:rsid w:val="000574E6"/>
    <w:rsid w:val="00057ACA"/>
    <w:rsid w:val="00060367"/>
    <w:rsid w:val="00076CE9"/>
    <w:rsid w:val="00077C17"/>
    <w:rsid w:val="00097EE9"/>
    <w:rsid w:val="000A0B90"/>
    <w:rsid w:val="000A2A70"/>
    <w:rsid w:val="000B1DDC"/>
    <w:rsid w:val="000B6BA6"/>
    <w:rsid w:val="000D1EA4"/>
    <w:rsid w:val="000D7992"/>
    <w:rsid w:val="000E1902"/>
    <w:rsid w:val="000E3F81"/>
    <w:rsid w:val="000E54BC"/>
    <w:rsid w:val="000E56F0"/>
    <w:rsid w:val="000F3A39"/>
    <w:rsid w:val="000F3D3F"/>
    <w:rsid w:val="00106286"/>
    <w:rsid w:val="0011004D"/>
    <w:rsid w:val="00120744"/>
    <w:rsid w:val="00123CF4"/>
    <w:rsid w:val="00126999"/>
    <w:rsid w:val="001335F6"/>
    <w:rsid w:val="001346AC"/>
    <w:rsid w:val="00140358"/>
    <w:rsid w:val="001420B8"/>
    <w:rsid w:val="00146834"/>
    <w:rsid w:val="00162C86"/>
    <w:rsid w:val="00167B4F"/>
    <w:rsid w:val="0017272C"/>
    <w:rsid w:val="00172F57"/>
    <w:rsid w:val="00183A2F"/>
    <w:rsid w:val="00196B39"/>
    <w:rsid w:val="001A176F"/>
    <w:rsid w:val="001C7E50"/>
    <w:rsid w:val="001D5AC5"/>
    <w:rsid w:val="001E04CA"/>
    <w:rsid w:val="001E60EC"/>
    <w:rsid w:val="001F10B0"/>
    <w:rsid w:val="001F61BE"/>
    <w:rsid w:val="00200FE6"/>
    <w:rsid w:val="00204543"/>
    <w:rsid w:val="002062D0"/>
    <w:rsid w:val="002105B9"/>
    <w:rsid w:val="00211E4B"/>
    <w:rsid w:val="00213A19"/>
    <w:rsid w:val="00216927"/>
    <w:rsid w:val="00216EB1"/>
    <w:rsid w:val="00223271"/>
    <w:rsid w:val="00226019"/>
    <w:rsid w:val="0022756B"/>
    <w:rsid w:val="00232313"/>
    <w:rsid w:val="002361FF"/>
    <w:rsid w:val="00237CC0"/>
    <w:rsid w:val="00242F71"/>
    <w:rsid w:val="002455BD"/>
    <w:rsid w:val="002533EE"/>
    <w:rsid w:val="002551E9"/>
    <w:rsid w:val="002565FE"/>
    <w:rsid w:val="002570C1"/>
    <w:rsid w:val="00260264"/>
    <w:rsid w:val="00261942"/>
    <w:rsid w:val="0026247C"/>
    <w:rsid w:val="00262B8C"/>
    <w:rsid w:val="00265219"/>
    <w:rsid w:val="00274AAB"/>
    <w:rsid w:val="00274EBB"/>
    <w:rsid w:val="00287128"/>
    <w:rsid w:val="0028732E"/>
    <w:rsid w:val="00296F67"/>
    <w:rsid w:val="002A05B2"/>
    <w:rsid w:val="002A18A8"/>
    <w:rsid w:val="002A465F"/>
    <w:rsid w:val="002B134A"/>
    <w:rsid w:val="002B2246"/>
    <w:rsid w:val="002B4D53"/>
    <w:rsid w:val="002B65B3"/>
    <w:rsid w:val="002B7454"/>
    <w:rsid w:val="002C0296"/>
    <w:rsid w:val="002C0347"/>
    <w:rsid w:val="002C2AC5"/>
    <w:rsid w:val="002C4A02"/>
    <w:rsid w:val="002C4D66"/>
    <w:rsid w:val="002D1DD7"/>
    <w:rsid w:val="002D5AF0"/>
    <w:rsid w:val="002D7BD0"/>
    <w:rsid w:val="002E1660"/>
    <w:rsid w:val="002E3C87"/>
    <w:rsid w:val="002E42A2"/>
    <w:rsid w:val="002E712A"/>
    <w:rsid w:val="002F3F84"/>
    <w:rsid w:val="00304EA4"/>
    <w:rsid w:val="0030584B"/>
    <w:rsid w:val="00306CB6"/>
    <w:rsid w:val="003152CF"/>
    <w:rsid w:val="00323C81"/>
    <w:rsid w:val="00325CF4"/>
    <w:rsid w:val="00326251"/>
    <w:rsid w:val="00331BBE"/>
    <w:rsid w:val="00333D73"/>
    <w:rsid w:val="00340733"/>
    <w:rsid w:val="00351C81"/>
    <w:rsid w:val="00352D15"/>
    <w:rsid w:val="00356F87"/>
    <w:rsid w:val="00364BEC"/>
    <w:rsid w:val="0036705D"/>
    <w:rsid w:val="00375817"/>
    <w:rsid w:val="00375E11"/>
    <w:rsid w:val="00375FD7"/>
    <w:rsid w:val="00376C5A"/>
    <w:rsid w:val="00384F18"/>
    <w:rsid w:val="00386B43"/>
    <w:rsid w:val="00397ECF"/>
    <w:rsid w:val="003A52FA"/>
    <w:rsid w:val="003A5FD4"/>
    <w:rsid w:val="003A6738"/>
    <w:rsid w:val="003A716B"/>
    <w:rsid w:val="003B361B"/>
    <w:rsid w:val="003B677A"/>
    <w:rsid w:val="003C4AEA"/>
    <w:rsid w:val="003C6E5D"/>
    <w:rsid w:val="003D11D1"/>
    <w:rsid w:val="003D4758"/>
    <w:rsid w:val="003D7E88"/>
    <w:rsid w:val="003E2763"/>
    <w:rsid w:val="003E5BE1"/>
    <w:rsid w:val="003F0C66"/>
    <w:rsid w:val="004020E0"/>
    <w:rsid w:val="00404BB4"/>
    <w:rsid w:val="00411ACE"/>
    <w:rsid w:val="00414838"/>
    <w:rsid w:val="00416941"/>
    <w:rsid w:val="0041707B"/>
    <w:rsid w:val="004202EC"/>
    <w:rsid w:val="0043064D"/>
    <w:rsid w:val="004322DF"/>
    <w:rsid w:val="00435104"/>
    <w:rsid w:val="0045232E"/>
    <w:rsid w:val="00454843"/>
    <w:rsid w:val="00455F0E"/>
    <w:rsid w:val="00467E94"/>
    <w:rsid w:val="004750AD"/>
    <w:rsid w:val="004957E7"/>
    <w:rsid w:val="00496CFD"/>
    <w:rsid w:val="004A27A0"/>
    <w:rsid w:val="004A3248"/>
    <w:rsid w:val="004B06AA"/>
    <w:rsid w:val="004B2299"/>
    <w:rsid w:val="004B3012"/>
    <w:rsid w:val="004B6EC9"/>
    <w:rsid w:val="004E0EAA"/>
    <w:rsid w:val="004E4926"/>
    <w:rsid w:val="004F1AA2"/>
    <w:rsid w:val="004F2414"/>
    <w:rsid w:val="004F615A"/>
    <w:rsid w:val="00515C54"/>
    <w:rsid w:val="0052338C"/>
    <w:rsid w:val="005242FA"/>
    <w:rsid w:val="00530026"/>
    <w:rsid w:val="0053086D"/>
    <w:rsid w:val="005324F3"/>
    <w:rsid w:val="005331E7"/>
    <w:rsid w:val="005364C2"/>
    <w:rsid w:val="005401C4"/>
    <w:rsid w:val="0055552D"/>
    <w:rsid w:val="00555962"/>
    <w:rsid w:val="005579C8"/>
    <w:rsid w:val="00567BDF"/>
    <w:rsid w:val="00580051"/>
    <w:rsid w:val="00580EDF"/>
    <w:rsid w:val="005913E4"/>
    <w:rsid w:val="00591C3D"/>
    <w:rsid w:val="00596842"/>
    <w:rsid w:val="005A0614"/>
    <w:rsid w:val="005A1ABD"/>
    <w:rsid w:val="005B4DA0"/>
    <w:rsid w:val="005B7BD1"/>
    <w:rsid w:val="005C1FF7"/>
    <w:rsid w:val="005D245B"/>
    <w:rsid w:val="005D53AE"/>
    <w:rsid w:val="005D586A"/>
    <w:rsid w:val="005E2635"/>
    <w:rsid w:val="005F37F6"/>
    <w:rsid w:val="005F4A23"/>
    <w:rsid w:val="005F5598"/>
    <w:rsid w:val="0060191E"/>
    <w:rsid w:val="00601A6C"/>
    <w:rsid w:val="006039BD"/>
    <w:rsid w:val="00605489"/>
    <w:rsid w:val="006078C9"/>
    <w:rsid w:val="00614B95"/>
    <w:rsid w:val="006203B0"/>
    <w:rsid w:val="00621670"/>
    <w:rsid w:val="00622347"/>
    <w:rsid w:val="00625801"/>
    <w:rsid w:val="00626493"/>
    <w:rsid w:val="006333D4"/>
    <w:rsid w:val="00641171"/>
    <w:rsid w:val="006417A7"/>
    <w:rsid w:val="0064539E"/>
    <w:rsid w:val="00645ED8"/>
    <w:rsid w:val="0065234B"/>
    <w:rsid w:val="006557B0"/>
    <w:rsid w:val="00670567"/>
    <w:rsid w:val="00670FCF"/>
    <w:rsid w:val="006825D7"/>
    <w:rsid w:val="00687F51"/>
    <w:rsid w:val="00694AE3"/>
    <w:rsid w:val="00694C25"/>
    <w:rsid w:val="006970C8"/>
    <w:rsid w:val="00697843"/>
    <w:rsid w:val="006A0016"/>
    <w:rsid w:val="006B1839"/>
    <w:rsid w:val="006B667A"/>
    <w:rsid w:val="006C2AB6"/>
    <w:rsid w:val="006C3B98"/>
    <w:rsid w:val="006C6CF8"/>
    <w:rsid w:val="006D7FC8"/>
    <w:rsid w:val="006E1DD7"/>
    <w:rsid w:val="006F7D4F"/>
    <w:rsid w:val="00703F3D"/>
    <w:rsid w:val="00712B0C"/>
    <w:rsid w:val="00713F15"/>
    <w:rsid w:val="0073019E"/>
    <w:rsid w:val="0073120F"/>
    <w:rsid w:val="0073583B"/>
    <w:rsid w:val="00740CB2"/>
    <w:rsid w:val="00743CAA"/>
    <w:rsid w:val="00755163"/>
    <w:rsid w:val="00767D31"/>
    <w:rsid w:val="00773E6B"/>
    <w:rsid w:val="0077402E"/>
    <w:rsid w:val="007851ED"/>
    <w:rsid w:val="00786480"/>
    <w:rsid w:val="007943BB"/>
    <w:rsid w:val="0079444F"/>
    <w:rsid w:val="007C6A0F"/>
    <w:rsid w:val="007D0A4F"/>
    <w:rsid w:val="007D20F8"/>
    <w:rsid w:val="007D43E6"/>
    <w:rsid w:val="007D532C"/>
    <w:rsid w:val="007D6612"/>
    <w:rsid w:val="007E1468"/>
    <w:rsid w:val="007E3183"/>
    <w:rsid w:val="007E5A41"/>
    <w:rsid w:val="007F4EDC"/>
    <w:rsid w:val="008062E3"/>
    <w:rsid w:val="008120DA"/>
    <w:rsid w:val="008156E4"/>
    <w:rsid w:val="00815CB2"/>
    <w:rsid w:val="00816C1D"/>
    <w:rsid w:val="00825444"/>
    <w:rsid w:val="00835408"/>
    <w:rsid w:val="008357CF"/>
    <w:rsid w:val="008401E0"/>
    <w:rsid w:val="008515D8"/>
    <w:rsid w:val="0085217D"/>
    <w:rsid w:val="0086069A"/>
    <w:rsid w:val="00866ADA"/>
    <w:rsid w:val="00874449"/>
    <w:rsid w:val="00880DE6"/>
    <w:rsid w:val="00884657"/>
    <w:rsid w:val="00891A95"/>
    <w:rsid w:val="0089344E"/>
    <w:rsid w:val="0089528E"/>
    <w:rsid w:val="008A2157"/>
    <w:rsid w:val="008A5583"/>
    <w:rsid w:val="008A558C"/>
    <w:rsid w:val="008B183D"/>
    <w:rsid w:val="008B2A7A"/>
    <w:rsid w:val="008B4FC6"/>
    <w:rsid w:val="008C3590"/>
    <w:rsid w:val="008C3CF7"/>
    <w:rsid w:val="008C7679"/>
    <w:rsid w:val="008D0038"/>
    <w:rsid w:val="008D3A78"/>
    <w:rsid w:val="008D43BD"/>
    <w:rsid w:val="008E3966"/>
    <w:rsid w:val="008E5C50"/>
    <w:rsid w:val="008E636A"/>
    <w:rsid w:val="008F3781"/>
    <w:rsid w:val="009021BF"/>
    <w:rsid w:val="00910361"/>
    <w:rsid w:val="00914C19"/>
    <w:rsid w:val="00924F05"/>
    <w:rsid w:val="009351A8"/>
    <w:rsid w:val="00940FE3"/>
    <w:rsid w:val="009428ED"/>
    <w:rsid w:val="00955068"/>
    <w:rsid w:val="00963325"/>
    <w:rsid w:val="00964CC8"/>
    <w:rsid w:val="00981774"/>
    <w:rsid w:val="009844EC"/>
    <w:rsid w:val="00984B89"/>
    <w:rsid w:val="00990EF3"/>
    <w:rsid w:val="0099549C"/>
    <w:rsid w:val="009A3C93"/>
    <w:rsid w:val="009B521E"/>
    <w:rsid w:val="009B67BE"/>
    <w:rsid w:val="009C06A4"/>
    <w:rsid w:val="009C356D"/>
    <w:rsid w:val="009D0F91"/>
    <w:rsid w:val="009D7B0D"/>
    <w:rsid w:val="009E4BE4"/>
    <w:rsid w:val="009E7D53"/>
    <w:rsid w:val="009F678D"/>
    <w:rsid w:val="009F724A"/>
    <w:rsid w:val="00A00879"/>
    <w:rsid w:val="00A06A78"/>
    <w:rsid w:val="00A07007"/>
    <w:rsid w:val="00A133EF"/>
    <w:rsid w:val="00A14348"/>
    <w:rsid w:val="00A21C53"/>
    <w:rsid w:val="00A32855"/>
    <w:rsid w:val="00A441BB"/>
    <w:rsid w:val="00A50281"/>
    <w:rsid w:val="00A50534"/>
    <w:rsid w:val="00A51A7C"/>
    <w:rsid w:val="00A52C36"/>
    <w:rsid w:val="00A52CF3"/>
    <w:rsid w:val="00A65913"/>
    <w:rsid w:val="00A77640"/>
    <w:rsid w:val="00A83B1E"/>
    <w:rsid w:val="00A85472"/>
    <w:rsid w:val="00A86526"/>
    <w:rsid w:val="00A879E6"/>
    <w:rsid w:val="00A87A50"/>
    <w:rsid w:val="00A93908"/>
    <w:rsid w:val="00AA02DB"/>
    <w:rsid w:val="00AD3674"/>
    <w:rsid w:val="00AD47C7"/>
    <w:rsid w:val="00AE2285"/>
    <w:rsid w:val="00AE43D2"/>
    <w:rsid w:val="00AF18BE"/>
    <w:rsid w:val="00AF19CB"/>
    <w:rsid w:val="00AF367D"/>
    <w:rsid w:val="00AF4466"/>
    <w:rsid w:val="00AF54D9"/>
    <w:rsid w:val="00AF79D6"/>
    <w:rsid w:val="00B0429F"/>
    <w:rsid w:val="00B208B1"/>
    <w:rsid w:val="00B24340"/>
    <w:rsid w:val="00B32E0D"/>
    <w:rsid w:val="00B42718"/>
    <w:rsid w:val="00B44D8C"/>
    <w:rsid w:val="00B44E74"/>
    <w:rsid w:val="00B4504A"/>
    <w:rsid w:val="00B4596B"/>
    <w:rsid w:val="00B51A15"/>
    <w:rsid w:val="00B54058"/>
    <w:rsid w:val="00B54729"/>
    <w:rsid w:val="00B669A0"/>
    <w:rsid w:val="00B84AC7"/>
    <w:rsid w:val="00B8523C"/>
    <w:rsid w:val="00B8770A"/>
    <w:rsid w:val="00B975CE"/>
    <w:rsid w:val="00BC025C"/>
    <w:rsid w:val="00BD1312"/>
    <w:rsid w:val="00BD463A"/>
    <w:rsid w:val="00BD731E"/>
    <w:rsid w:val="00BE031F"/>
    <w:rsid w:val="00BE4FC6"/>
    <w:rsid w:val="00C00204"/>
    <w:rsid w:val="00C066BA"/>
    <w:rsid w:val="00C21A6E"/>
    <w:rsid w:val="00C23BF8"/>
    <w:rsid w:val="00C24E31"/>
    <w:rsid w:val="00C31425"/>
    <w:rsid w:val="00C40C01"/>
    <w:rsid w:val="00C40C4B"/>
    <w:rsid w:val="00C41B47"/>
    <w:rsid w:val="00C42BD6"/>
    <w:rsid w:val="00C45502"/>
    <w:rsid w:val="00C64AA7"/>
    <w:rsid w:val="00C749E6"/>
    <w:rsid w:val="00C81065"/>
    <w:rsid w:val="00C840AC"/>
    <w:rsid w:val="00C94F21"/>
    <w:rsid w:val="00C97B71"/>
    <w:rsid w:val="00CA020B"/>
    <w:rsid w:val="00CA26F7"/>
    <w:rsid w:val="00CA4064"/>
    <w:rsid w:val="00CA4193"/>
    <w:rsid w:val="00CB0143"/>
    <w:rsid w:val="00CB60B3"/>
    <w:rsid w:val="00CB69A6"/>
    <w:rsid w:val="00CD3D26"/>
    <w:rsid w:val="00CD3E46"/>
    <w:rsid w:val="00CD66DF"/>
    <w:rsid w:val="00CE0D5F"/>
    <w:rsid w:val="00CE1A37"/>
    <w:rsid w:val="00CE613E"/>
    <w:rsid w:val="00CE6BEB"/>
    <w:rsid w:val="00CF012B"/>
    <w:rsid w:val="00CF03A5"/>
    <w:rsid w:val="00CF0435"/>
    <w:rsid w:val="00CF44DE"/>
    <w:rsid w:val="00D0602B"/>
    <w:rsid w:val="00D135AD"/>
    <w:rsid w:val="00D374B4"/>
    <w:rsid w:val="00D401F5"/>
    <w:rsid w:val="00D50898"/>
    <w:rsid w:val="00D55C66"/>
    <w:rsid w:val="00D55E1A"/>
    <w:rsid w:val="00D665B0"/>
    <w:rsid w:val="00D66E5D"/>
    <w:rsid w:val="00D67010"/>
    <w:rsid w:val="00D67270"/>
    <w:rsid w:val="00D76109"/>
    <w:rsid w:val="00D76EAE"/>
    <w:rsid w:val="00D804DD"/>
    <w:rsid w:val="00D867AE"/>
    <w:rsid w:val="00D871CA"/>
    <w:rsid w:val="00D9657B"/>
    <w:rsid w:val="00DB4426"/>
    <w:rsid w:val="00DC062D"/>
    <w:rsid w:val="00DE3864"/>
    <w:rsid w:val="00DE6F8F"/>
    <w:rsid w:val="00DF1813"/>
    <w:rsid w:val="00DF59E8"/>
    <w:rsid w:val="00DF79C8"/>
    <w:rsid w:val="00E01671"/>
    <w:rsid w:val="00E06721"/>
    <w:rsid w:val="00E134BD"/>
    <w:rsid w:val="00E206CA"/>
    <w:rsid w:val="00E419CE"/>
    <w:rsid w:val="00E43D9C"/>
    <w:rsid w:val="00E50A31"/>
    <w:rsid w:val="00E611DF"/>
    <w:rsid w:val="00E61AED"/>
    <w:rsid w:val="00E673BF"/>
    <w:rsid w:val="00E75ADA"/>
    <w:rsid w:val="00E768E0"/>
    <w:rsid w:val="00E80424"/>
    <w:rsid w:val="00E81188"/>
    <w:rsid w:val="00E85297"/>
    <w:rsid w:val="00EA1211"/>
    <w:rsid w:val="00EA1BF5"/>
    <w:rsid w:val="00EA61B7"/>
    <w:rsid w:val="00EB6CCA"/>
    <w:rsid w:val="00EC0E67"/>
    <w:rsid w:val="00EC6DB2"/>
    <w:rsid w:val="00EE253F"/>
    <w:rsid w:val="00EE4987"/>
    <w:rsid w:val="00EE5C18"/>
    <w:rsid w:val="00EF1A61"/>
    <w:rsid w:val="00EF7077"/>
    <w:rsid w:val="00F03F33"/>
    <w:rsid w:val="00F11BA8"/>
    <w:rsid w:val="00F22560"/>
    <w:rsid w:val="00F22E2A"/>
    <w:rsid w:val="00F25881"/>
    <w:rsid w:val="00F27E5D"/>
    <w:rsid w:val="00F469B2"/>
    <w:rsid w:val="00F56E73"/>
    <w:rsid w:val="00F70070"/>
    <w:rsid w:val="00F9176B"/>
    <w:rsid w:val="00F9340A"/>
    <w:rsid w:val="00F95123"/>
    <w:rsid w:val="00FA1E59"/>
    <w:rsid w:val="00FA381A"/>
    <w:rsid w:val="00FA3909"/>
    <w:rsid w:val="00FA76A7"/>
    <w:rsid w:val="00FC399B"/>
    <w:rsid w:val="00FE5E87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">
    <w:name w:val="textn"/>
    <w:basedOn w:val="a"/>
    <w:rsid w:val="005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b"/>
    <w:basedOn w:val="a"/>
    <w:rsid w:val="005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">
    <w:name w:val="textn"/>
    <w:basedOn w:val="a"/>
    <w:rsid w:val="005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b"/>
    <w:basedOn w:val="a"/>
    <w:rsid w:val="005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10450</Words>
  <Characters>59568</Characters>
  <Application>Microsoft Office Word</Application>
  <DocSecurity>0</DocSecurity>
  <Lines>496</Lines>
  <Paragraphs>139</Paragraphs>
  <ScaleCrop>false</ScaleCrop>
  <Company>SPecialiST RePack</Company>
  <LinksUpToDate>false</LinksUpToDate>
  <CharactersWithSpaces>69879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2015-07-23T06:35:00Z</dcterms:created>
  <dcterms:modified xsi:type="dcterms:W3CDTF">2015-07-23T06:36:00Z</dcterms:modified>
</cp:coreProperties>
</file>